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FE" w:rsidRPr="00CE619F" w:rsidRDefault="006134FE" w:rsidP="00BC6371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07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Лицензирование телевизионного вещания и радиовещания</w:t>
      </w:r>
    </w:p>
    <w:p w:rsidR="006134FE" w:rsidRPr="00CE619F" w:rsidRDefault="006134FE" w:rsidP="006134FE">
      <w:pPr>
        <w:spacing w:after="0" w:line="240" w:lineRule="auto"/>
        <w:ind w:right="-1"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4FE" w:rsidRPr="00C3442D" w:rsidRDefault="006134FE" w:rsidP="006134FE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Лицензирование деятельности в области телевизионного вещания и радиовещания Управление осуществляет в соответствии с Федеральным законом от 04.05.2011 № 99-ФЗ «О лицензировании отдельных видов деятельности», Законом о СМИ, Положением о лицензировании телевизионного вещания и радиовещания, утвержденным постановлением Правительства Российской Федерации от 08.12.2011 № 1025 и приказом </w:t>
      </w:r>
      <w:proofErr w:type="spellStart"/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24.07.2019 № 210 «Об утверждении Административного регламента предоставления Федеральной службой по надзору в сфере связи, информационных</w:t>
      </w:r>
      <w:proofErr w:type="gramEnd"/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и массовых коммуникаций государственной услуги лицензирования в области телевизионного вещания и радиовещания».</w:t>
      </w:r>
    </w:p>
    <w:p w:rsidR="006134FE" w:rsidRPr="00C3442D" w:rsidRDefault="006134FE" w:rsidP="006134FE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31.03.2020 года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лицензий на осуществление телерадиовещания числится </w:t>
      </w: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6380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лицензий, что </w:t>
      </w: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5,5% меньше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2019 году (по состоянию на 31.03.2019 числилось 6749 лицензий).</w:t>
      </w:r>
    </w:p>
    <w:p w:rsidR="006134FE" w:rsidRPr="00C3442D" w:rsidRDefault="006134FE" w:rsidP="006134FE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действующих лицензий на вещание по видам представлено на диаграмме 4.</w:t>
      </w:r>
    </w:p>
    <w:p w:rsidR="006134FE" w:rsidRDefault="006134FE" w:rsidP="006134FE">
      <w:pPr>
        <w:spacing w:after="0" w:line="240" w:lineRule="auto"/>
        <w:ind w:right="-1"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134FE" w:rsidRDefault="006134FE" w:rsidP="006134FE">
      <w:pPr>
        <w:spacing w:after="0" w:line="240" w:lineRule="auto"/>
        <w:ind w:right="-1"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4FE" w:rsidRDefault="006134FE" w:rsidP="006134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16B9F4AC" wp14:editId="76EC266D">
            <wp:extent cx="5857875" cy="40195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134FE" w:rsidRPr="00F20355" w:rsidRDefault="006134FE" w:rsidP="006134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4FE" w:rsidRDefault="006134FE" w:rsidP="006134FE">
      <w:pPr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br w:type="page"/>
      </w:r>
    </w:p>
    <w:p w:rsidR="006134FE" w:rsidRPr="00C3442D" w:rsidRDefault="006134FE" w:rsidP="006134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течение 1-го квартала 2020 года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</w:t>
      </w: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433 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по вопросу лицензирования телерадиовещания: </w:t>
      </w: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276 -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радиовещания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157 - </w:t>
      </w: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телевещания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6,5%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аналогичном отчётном периоде 2019 года – 463. Из них: </w:t>
      </w:r>
    </w:p>
    <w:p w:rsidR="006134FE" w:rsidRPr="00C3442D" w:rsidRDefault="006134FE" w:rsidP="006134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84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получение лицензий; </w:t>
      </w:r>
    </w:p>
    <w:p w:rsidR="006134FE" w:rsidRPr="00C3442D" w:rsidRDefault="006134FE" w:rsidP="006134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346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переоформление лицензий; </w:t>
      </w:r>
    </w:p>
    <w:p w:rsidR="006134FE" w:rsidRPr="00C3442D" w:rsidRDefault="006134FE" w:rsidP="006134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пролонгацию лицензий; </w:t>
      </w:r>
    </w:p>
    <w:p w:rsidR="006134FE" w:rsidRPr="00C3442D" w:rsidRDefault="006134FE" w:rsidP="006134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выдачу дубликата лицензии.</w:t>
      </w:r>
    </w:p>
    <w:p w:rsidR="006134FE" w:rsidRPr="00C3442D" w:rsidRDefault="006134FE" w:rsidP="006134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приказов, из них:</w:t>
      </w:r>
    </w:p>
    <w:p w:rsidR="006134FE" w:rsidRPr="00C3442D" w:rsidRDefault="006134FE" w:rsidP="006134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 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предоставлении, переоформлении, пролонгации лицензии на осуществление телевизионного вещания и радиовещания; </w:t>
      </w:r>
    </w:p>
    <w:p w:rsidR="006134FE" w:rsidRPr="00C3442D" w:rsidRDefault="006134FE" w:rsidP="006134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выдаче дубликата лицензии;</w:t>
      </w:r>
    </w:p>
    <w:p w:rsidR="006134FE" w:rsidRPr="00C3442D" w:rsidRDefault="006134FE" w:rsidP="006134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об отказе в переоформлении лицензии не принимались.</w:t>
      </w:r>
    </w:p>
    <w:p w:rsidR="006134FE" w:rsidRPr="00C3442D" w:rsidRDefault="006134FE" w:rsidP="006134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выданных и переоформленных лицензий на осуществление телерадиовещания </w:t>
      </w: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2020 года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</w:t>
      </w: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392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 на телевещание – 139, на радиовещание – 253. Таким образом, в отчётном периоде 2020 года наблюдается</w:t>
      </w: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снижение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выданных и переоформленных лицензий </w:t>
      </w: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18,1%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2019 годом – 479.</w:t>
      </w:r>
    </w:p>
    <w:p w:rsidR="006134FE" w:rsidRPr="00C3442D" w:rsidRDefault="006134FE" w:rsidP="006134F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выданных и переоформленных с начала 2020 года лицензий на осуществление телерадиовещания отражено на диаграмме 5.</w:t>
      </w:r>
    </w:p>
    <w:p w:rsidR="006134FE" w:rsidRPr="00C3442D" w:rsidRDefault="006134FE" w:rsidP="006134F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4FE" w:rsidRDefault="006134FE" w:rsidP="006134F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134FE" w:rsidRDefault="006134FE" w:rsidP="006134F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4FE" w:rsidRPr="00F96264" w:rsidRDefault="006134FE" w:rsidP="006134F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F962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C8B096C" wp14:editId="5CF56EBE">
            <wp:extent cx="6114553" cy="3252083"/>
            <wp:effectExtent l="0" t="0" r="635" b="57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134FE" w:rsidRPr="00C3442D" w:rsidRDefault="006134FE" w:rsidP="006134F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показателями 2019 года количество оформленных </w:t>
      </w:r>
      <w:r w:rsidRPr="00C3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1-м квартале 2020 года </w:t>
      </w:r>
      <w:r w:rsidRPr="00C34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новых лицензий снизилось на 8,6%</w:t>
      </w:r>
      <w:r w:rsidRPr="00C3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число </w:t>
      </w:r>
      <w:r w:rsidRPr="00C34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переоформленных лицензий (приложений) уменьшилось</w:t>
      </w:r>
      <w:r w:rsidRPr="00C3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34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20,1</w:t>
      </w:r>
      <w:r w:rsidRPr="00C3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%; доля </w:t>
      </w:r>
      <w:r w:rsidRPr="00C34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пролонгированных</w:t>
      </w:r>
      <w:r w:rsidRPr="00C3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34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увеличилась в 2 раза.</w:t>
      </w:r>
    </w:p>
    <w:p w:rsidR="006134FE" w:rsidRPr="00C3442D" w:rsidRDefault="006134FE" w:rsidP="006134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2D">
        <w:rPr>
          <w:rFonts w:ascii="Times New Roman" w:hAnsi="Times New Roman" w:cs="Times New Roman"/>
          <w:sz w:val="28"/>
          <w:szCs w:val="28"/>
        </w:rPr>
        <w:t>Количество выданных и переоформленных лицензий на осуществление телерадиовещания в 1-м квартале 2020 года по сравнению с аналогичными периодами 2018 и 2019 годов представлено в таблице 5.</w:t>
      </w:r>
    </w:p>
    <w:p w:rsidR="006134FE" w:rsidRPr="00C3442D" w:rsidRDefault="006134FE" w:rsidP="006134FE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134FE" w:rsidRPr="003E21A1" w:rsidRDefault="006134FE" w:rsidP="006134FE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442D">
        <w:rPr>
          <w:rFonts w:ascii="Times New Roman" w:hAnsi="Times New Roman" w:cs="Times New Roman"/>
          <w:b/>
          <w:sz w:val="28"/>
          <w:szCs w:val="28"/>
        </w:rPr>
        <w:t>Таблица 5</w:t>
      </w:r>
    </w:p>
    <w:tbl>
      <w:tblPr>
        <w:tblW w:w="92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1"/>
        <w:gridCol w:w="2268"/>
        <w:gridCol w:w="2091"/>
      </w:tblGrid>
      <w:tr w:rsidR="006134FE" w:rsidRPr="003636F1" w:rsidTr="00921760">
        <w:trPr>
          <w:trHeight w:val="3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134FE" w:rsidRPr="003636F1" w:rsidRDefault="006134FE" w:rsidP="00921760">
            <w:pPr>
              <w:spacing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134FE" w:rsidRPr="003636F1" w:rsidRDefault="006134FE" w:rsidP="009217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134FE" w:rsidRPr="003636F1" w:rsidRDefault="006134FE" w:rsidP="009217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134FE" w:rsidRPr="003636F1" w:rsidRDefault="006134FE" w:rsidP="009217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г.</w:t>
            </w:r>
          </w:p>
        </w:tc>
      </w:tr>
      <w:tr w:rsidR="006134FE" w:rsidRPr="003636F1" w:rsidTr="00921760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FE" w:rsidRPr="00CB56E5" w:rsidRDefault="006134FE" w:rsidP="009217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6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выдано новых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FE" w:rsidRPr="00704B97" w:rsidRDefault="006134FE" w:rsidP="009217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9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FE" w:rsidRPr="00704B97" w:rsidRDefault="006134FE" w:rsidP="009217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FE" w:rsidRPr="00704B97" w:rsidRDefault="006134FE" w:rsidP="009217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134FE" w:rsidRPr="003636F1" w:rsidTr="00921760">
        <w:trPr>
          <w:trHeight w:val="7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134FE" w:rsidRPr="00CB56E5" w:rsidRDefault="006134FE" w:rsidP="009217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6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переоформлено лицензий и приложений к лицензиям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134FE" w:rsidRPr="00704B97" w:rsidRDefault="006134FE" w:rsidP="009217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134FE" w:rsidRPr="00704B97" w:rsidRDefault="006134FE" w:rsidP="009217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134FE" w:rsidRPr="00704B97" w:rsidRDefault="006134FE" w:rsidP="009217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6134FE" w:rsidRPr="00B83093" w:rsidTr="00921760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FE" w:rsidRPr="00CB56E5" w:rsidRDefault="006134FE" w:rsidP="009217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6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пролонгировано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FE" w:rsidRPr="00704B97" w:rsidRDefault="006134FE" w:rsidP="009217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FE" w:rsidRPr="00704B97" w:rsidRDefault="006134FE" w:rsidP="009217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FE" w:rsidRPr="00704B97" w:rsidRDefault="006134FE" w:rsidP="009217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134FE" w:rsidRDefault="006134FE" w:rsidP="006134F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34FE" w:rsidRPr="00AA5649" w:rsidRDefault="006134FE" w:rsidP="006134FE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отчётный период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 </w:t>
      </w:r>
      <w:r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приказами </w:t>
      </w:r>
      <w:proofErr w:type="spellStart"/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Роскомнадзора</w:t>
      </w:r>
      <w:proofErr w:type="spellEnd"/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«О 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 </w:t>
      </w:r>
      <w:r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принято решение о прекращении </w:t>
      </w:r>
      <w:r w:rsidRPr="007E60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</w:t>
      </w:r>
      <w:r w:rsidRPr="007E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E60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222 </w:t>
      </w:r>
      <w:r w:rsidRPr="007E6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вещательных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лицензий. </w:t>
      </w:r>
    </w:p>
    <w:p w:rsidR="006134FE" w:rsidRPr="00AA5649" w:rsidRDefault="006134FE" w:rsidP="006134FE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прекращении действия лицензий на осуществление телерадиовещания принималось в соответствии с основаниями, предусмотренными статьёй 20 Федерального Закона от 04.05.2011 года 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99-ФЗ «О лицензировании отдельных видов деятельности» и статьёй 31.7 Закона о СМИ.</w:t>
      </w:r>
      <w:r w:rsidRPr="00AD2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Соответствующие сведения внесены в Единую информационную систему </w:t>
      </w:r>
      <w:proofErr w:type="spellStart"/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Роскомнадзора</w:t>
      </w:r>
      <w:proofErr w:type="spellEnd"/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ЕИС </w:t>
      </w:r>
      <w:proofErr w:type="spellStart"/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Роскомнадзора</w:t>
      </w:r>
      <w:proofErr w:type="spellEnd"/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134FE" w:rsidRPr="00AA5649" w:rsidRDefault="006134FE" w:rsidP="006134FE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аналогичном отчётном периоде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своё действие досрочно прекратили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129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лицензий. </w:t>
      </w:r>
    </w:p>
    <w:p w:rsidR="006134FE" w:rsidRDefault="006134FE" w:rsidP="006134FE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1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лицензий, досрочно прекративших своё действие </w:t>
      </w:r>
      <w:r w:rsidRPr="00081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1-м квартале 2020 года, </w:t>
      </w:r>
      <w:r w:rsidRPr="00081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увеличилось на 72,1% </w:t>
      </w:r>
      <w:r w:rsidRPr="00081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сравнению с</w:t>
      </w:r>
      <w:r w:rsidRPr="00081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81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аналогичным отчётным периодом 2019 года.</w:t>
      </w:r>
    </w:p>
    <w:p w:rsidR="006134FE" w:rsidRPr="006E3DDA" w:rsidRDefault="006134FE" w:rsidP="006134FE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состоянию на 31.03.2020 в связи с окончанием срока действия </w:t>
      </w:r>
      <w:r w:rsidRPr="006E3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 вещательные лицензий утратили силу. Сведения об утрате силы действия вещательных лицензий в 1-м квартале 2019 года в реестр лицензий </w:t>
      </w:r>
      <w:r w:rsidRPr="006E3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 вносились в связи с отсутствием оснований.</w:t>
      </w:r>
    </w:p>
    <w:p w:rsidR="006134FE" w:rsidRPr="00AA5649" w:rsidRDefault="006134FE" w:rsidP="006134FE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Сравнительное количество лицензий прекративших своё действие за отчётный период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 с указанием причины прекращения показано в таблице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134FE" w:rsidRPr="00CE619F" w:rsidRDefault="006134FE" w:rsidP="006134FE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:rsidR="006134FE" w:rsidRPr="00CE619F" w:rsidRDefault="006134FE" w:rsidP="006134FE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568"/>
        <w:gridCol w:w="2700"/>
      </w:tblGrid>
      <w:tr w:rsidR="006134FE" w:rsidRPr="00B97B16" w:rsidTr="00921760">
        <w:trPr>
          <w:trHeight w:val="533"/>
        </w:trPr>
        <w:tc>
          <w:tcPr>
            <w:tcW w:w="4111" w:type="dxa"/>
            <w:shd w:val="clear" w:color="auto" w:fill="DBE5F1" w:themeFill="accent1" w:themeFillTint="33"/>
          </w:tcPr>
          <w:p w:rsidR="006134FE" w:rsidRPr="00B97B16" w:rsidRDefault="006134FE" w:rsidP="0092176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shd w:val="clear" w:color="auto" w:fill="DBE5F1" w:themeFill="accent1" w:themeFillTint="33"/>
          </w:tcPr>
          <w:p w:rsidR="006134FE" w:rsidRPr="00B97B16" w:rsidRDefault="006134FE" w:rsidP="009217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квартал </w:t>
            </w:r>
            <w:r w:rsidRPr="00B97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2019 г.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:rsidR="006134FE" w:rsidRPr="00B97B16" w:rsidRDefault="006134FE" w:rsidP="009217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квартал </w:t>
            </w:r>
            <w:r w:rsidRPr="00B97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2020 г.</w:t>
            </w:r>
          </w:p>
        </w:tc>
      </w:tr>
      <w:tr w:rsidR="006134FE" w:rsidRPr="00B97B16" w:rsidTr="00921760">
        <w:trPr>
          <w:trHeight w:val="586"/>
        </w:trPr>
        <w:tc>
          <w:tcPr>
            <w:tcW w:w="4111" w:type="dxa"/>
            <w:vAlign w:val="center"/>
          </w:tcPr>
          <w:p w:rsidR="006134FE" w:rsidRPr="00B97B16" w:rsidRDefault="006134FE" w:rsidP="0092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лицензиата</w:t>
            </w:r>
          </w:p>
        </w:tc>
        <w:tc>
          <w:tcPr>
            <w:tcW w:w="2568" w:type="dxa"/>
            <w:vAlign w:val="center"/>
          </w:tcPr>
          <w:p w:rsidR="006134FE" w:rsidRPr="00B97B16" w:rsidRDefault="006134FE" w:rsidP="009217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700" w:type="dxa"/>
            <w:vAlign w:val="center"/>
          </w:tcPr>
          <w:p w:rsidR="006134FE" w:rsidRPr="00B97B16" w:rsidRDefault="006134FE" w:rsidP="009217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6134FE" w:rsidRPr="00B97B16" w:rsidTr="00921760">
        <w:trPr>
          <w:trHeight w:val="552"/>
        </w:trPr>
        <w:tc>
          <w:tcPr>
            <w:tcW w:w="4111" w:type="dxa"/>
            <w:vAlign w:val="center"/>
          </w:tcPr>
          <w:p w:rsidR="006134FE" w:rsidRPr="00B97B16" w:rsidRDefault="006134FE" w:rsidP="0092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СМИ</w:t>
            </w:r>
          </w:p>
        </w:tc>
        <w:tc>
          <w:tcPr>
            <w:tcW w:w="2568" w:type="dxa"/>
            <w:vAlign w:val="center"/>
          </w:tcPr>
          <w:p w:rsidR="006134FE" w:rsidRPr="00B97B16" w:rsidRDefault="006134FE" w:rsidP="009217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00" w:type="dxa"/>
            <w:vAlign w:val="center"/>
          </w:tcPr>
          <w:p w:rsidR="006134FE" w:rsidRPr="00B97B16" w:rsidRDefault="006134FE" w:rsidP="009217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6134FE" w:rsidRPr="00B97B16" w:rsidTr="00921760">
        <w:trPr>
          <w:trHeight w:val="521"/>
        </w:trPr>
        <w:tc>
          <w:tcPr>
            <w:tcW w:w="4111" w:type="dxa"/>
            <w:vAlign w:val="center"/>
          </w:tcPr>
          <w:p w:rsidR="006134FE" w:rsidRPr="00B97B16" w:rsidRDefault="006134FE" w:rsidP="0092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юридического лица</w:t>
            </w:r>
          </w:p>
        </w:tc>
        <w:tc>
          <w:tcPr>
            <w:tcW w:w="2568" w:type="dxa"/>
            <w:vAlign w:val="center"/>
          </w:tcPr>
          <w:p w:rsidR="006134FE" w:rsidRPr="00B97B16" w:rsidRDefault="006134FE" w:rsidP="009217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0" w:type="dxa"/>
            <w:vAlign w:val="center"/>
          </w:tcPr>
          <w:p w:rsidR="006134FE" w:rsidRPr="00B97B16" w:rsidRDefault="006134FE" w:rsidP="009217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134FE" w:rsidRPr="00B97B16" w:rsidTr="00921760">
        <w:trPr>
          <w:trHeight w:val="425"/>
        </w:trPr>
        <w:tc>
          <w:tcPr>
            <w:tcW w:w="4111" w:type="dxa"/>
            <w:vAlign w:val="center"/>
          </w:tcPr>
          <w:p w:rsidR="006134FE" w:rsidRPr="00B97B16" w:rsidRDefault="006134FE" w:rsidP="0092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568" w:type="dxa"/>
            <w:vAlign w:val="center"/>
          </w:tcPr>
          <w:p w:rsidR="006134FE" w:rsidRPr="00B97B16" w:rsidRDefault="006134FE" w:rsidP="009217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0" w:type="dxa"/>
            <w:vAlign w:val="center"/>
          </w:tcPr>
          <w:p w:rsidR="006134FE" w:rsidRPr="00B97B16" w:rsidRDefault="006134FE" w:rsidP="009217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134FE" w:rsidRPr="00B97B16" w:rsidTr="00921760">
        <w:trPr>
          <w:trHeight w:val="560"/>
        </w:trPr>
        <w:tc>
          <w:tcPr>
            <w:tcW w:w="4111" w:type="dxa"/>
            <w:vAlign w:val="center"/>
          </w:tcPr>
          <w:p w:rsidR="006134FE" w:rsidRPr="00B97B16" w:rsidRDefault="006134FE" w:rsidP="0092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срока действия лицензии</w:t>
            </w:r>
          </w:p>
        </w:tc>
        <w:tc>
          <w:tcPr>
            <w:tcW w:w="2568" w:type="dxa"/>
            <w:vAlign w:val="center"/>
          </w:tcPr>
          <w:p w:rsidR="006134FE" w:rsidRPr="00B97B16" w:rsidRDefault="006134FE" w:rsidP="009217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0" w:type="dxa"/>
            <w:vAlign w:val="center"/>
          </w:tcPr>
          <w:p w:rsidR="006134FE" w:rsidRPr="00B97B16" w:rsidRDefault="006134FE" w:rsidP="009217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6134FE" w:rsidRPr="00CE619F" w:rsidRDefault="006134FE" w:rsidP="006134F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329C" w:rsidRDefault="00BB329C"/>
    <w:sectPr w:rsidR="00BB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FE"/>
    <w:rsid w:val="006134FE"/>
    <w:rsid w:val="00BB329C"/>
    <w:rsid w:val="00B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73596387972231E-2"/>
          <c:y val="1.0165884828363158E-3"/>
          <c:w val="0.82802304670003379"/>
          <c:h val="0.799595067400604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0.16787279901270619"/>
                  <c:y val="5.379205440229062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3846</a:t>
                    </a: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</a:p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Эфирное вещание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7.6643722514818102E-2"/>
                  <c:y val="-3.7258410880458125E-3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1122</a:t>
                    </a:r>
                  </a:p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Кабельное вещание </a:t>
                    </a:r>
                    <a:b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</a:b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405971104866931E-3"/>
                  <c:y val="6.169527607421570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</a:p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Эфирное вещание (</a:t>
                    </a:r>
                    <a:r>
                      <a:rPr lang="en-US" sz="1100">
                        <a:latin typeface="Times New Roman" pitchFamily="18" charset="0"/>
                        <a:cs typeface="Times New Roman" pitchFamily="18" charset="0"/>
                      </a:rPr>
                      <a:t>MMDS)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0416831846267535E-2"/>
                  <c:y val="6.8127950609321961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1398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Универсальная</a:t>
                    </a:r>
                    <a:r>
                      <a:rPr lang="ru-RU" sz="1100" baseline="0">
                        <a:latin typeface="Times New Roman" pitchFamily="18" charset="0"/>
                        <a:cs typeface="Times New Roman" pitchFamily="18" charset="0"/>
                      </a:rPr>
                      <a:t> среда вещания</a:t>
                    </a: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3985953225311823E-2"/>
                  <c:y val="2.75661900591008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9</a:t>
                    </a:r>
                  </a:p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Спутниковое вещание 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Эфирное вещание (MMDS)</c:v>
                </c:pt>
                <c:pt idx="3">
                  <c:v>Универсальное </c:v>
                </c:pt>
                <c:pt idx="4">
                  <c:v>Спутниковое вещание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3846</c:v>
                </c:pt>
                <c:pt idx="1">
                  <c:v>1122</c:v>
                </c:pt>
                <c:pt idx="2">
                  <c:v>5</c:v>
                </c:pt>
                <c:pt idx="3">
                  <c:v>1398</c:v>
                </c:pt>
                <c:pt idx="4">
                  <c:v>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7906300797243047E-2"/>
          <c:y val="2.5123588658045988E-2"/>
          <c:w val="0.65649814801187234"/>
          <c:h val="0.82445726797331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2019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0087409496654948E-2"/>
                  <c:y val="-1.6062320672627358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70</a:t>
                    </a:r>
                    <a:endParaRPr lang="ru-RU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5176981382000145E-3"/>
                  <c:y val="7.5729096912739279E-3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408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065976566013437E-2"/>
                  <c:y val="1.155532977732622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</c:v>
                </c:pt>
                <c:pt idx="1">
                  <c:v>408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2020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4500737779559289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583081216239357E-4"/>
                  <c:y val="-7.30239664854802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207211812005509E-3"/>
                  <c:y val="4.265007426000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64</c:v>
                </c:pt>
                <c:pt idx="1">
                  <c:v>326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 месяцев 2019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1"/>
              <c:layout>
                <c:manualLayout>
                  <c:x val="-6.2310360217664312E-3"/>
                  <c:y val="3.90518938169780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Лист1!$D$2:$D$4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9 месяцев 2018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Лист1!$E$2:$E$4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078656"/>
        <c:axId val="95105024"/>
      </c:barChart>
      <c:catAx>
        <c:axId val="950786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/>
            </a:pPr>
            <a:endParaRPr lang="ru-RU"/>
          </a:p>
        </c:txPr>
        <c:crossAx val="95105024"/>
        <c:crosses val="autoZero"/>
        <c:auto val="1"/>
        <c:lblAlgn val="ctr"/>
        <c:lblOffset val="100"/>
        <c:noMultiLvlLbl val="0"/>
      </c:catAx>
      <c:valAx>
        <c:axId val="95105024"/>
        <c:scaling>
          <c:orientation val="minMax"/>
          <c:max val="5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95078656"/>
        <c:crosses val="autoZero"/>
        <c:crossBetween val="between"/>
      </c:valAx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0174069960633265"/>
          <c:y val="0.29317520495123295"/>
          <c:w val="0.18983009821871757"/>
          <c:h val="0.30363497817904728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Копитоненко Елена Анатольевна</cp:lastModifiedBy>
  <cp:revision>2</cp:revision>
  <dcterms:created xsi:type="dcterms:W3CDTF">2020-07-07T09:53:00Z</dcterms:created>
  <dcterms:modified xsi:type="dcterms:W3CDTF">2020-07-08T11:45:00Z</dcterms:modified>
</cp:coreProperties>
</file>