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16 марта 2009 г. № 228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ФЕДЕРАЛЬНОЙ СЛУЖБЕ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НАДЗОРУ В СФЕРЕ СВЯЗИ, ИНФОРМАЦИОННЫХ ТЕХНОЛОГИЙ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МАССОВЫХ КОММУНИКАЦИЙ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Российской Федерации постановляет: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Федеральной службе по надзору в сфере связи, информационных технологий и массовых коммуникаций.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Разрешить Федеральной службе по надзору в сфере связи, информационных технологий и массовых коммуникаций иметь 4 заместителей руководителя, а также в структуре центрального аппарата до 8 управлений по основным направлениям деятельности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3 - 4. Утратили силу с 28 января 2011 года.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28.01.2011 № 39.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Отнести к ведению Федеральной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службы по надзору в сфере связи, информационных технологий и массовых коммуникаций федеральное государственное унитарное предприятие "Главный радиочастотный центр", федеральное государственное бюджетное учреждение Научно-технический центр "Информрегистр".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Согласиться с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ложением Министерства связи и массовых коммуникаций Российской Федерации о размещении центрального аппарата Федеральной службы по надзору в сфере связи, информационных технологий и массовых коммуникаций в г. Москве, Китайгородский проезд, д. 7, строение 2.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Внести в акты Правительства Российской Федерации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27.12.2010 № 1152;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Российской Федерации от 2 июня 2008 г. </w:t>
        <w:br/>
        <w:t xml:space="preserve">№ 419 "О Федеральной службе по надзору в сфере связи и массовых коммуникаций" (Собрание законодательства Российской Федерации, 2008, № 23, ст. 2709)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56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жденных Постановлением Правительства Российской Федерации от 7 ноября 2008 г. № 814 "О внесении изменений в некоторые акты Правительства Российской Федерации" (Собрание законодательства Российской Федерации, 2008, № 46, ст. 5337),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54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января 2009 г. № 43 "О внесении изменений в некоторые акты Правительства Российской Федерац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в связи с принятием Федерального закона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2009, № 6, ст. 738),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В.ПУТИН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16 марта 2009 г. № 228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5" w:name="P35"/>
      <w:r>
        <w:rPr>
          <w:rFonts w:ascii="Times New Roman" w:hAnsi="Times New Roman" w:eastAsia="Times New Roman" w:cs="Times New Roman"/>
          <w:sz w:val="28"/>
          <w:szCs w:val="28"/>
        </w:rPr>
      </w:r>
      <w:bookmarkEnd w:id="35"/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ФЕДЕРАЛЬНОЙ СЛУЖБЕ ПО НАДЗОРУ В СФЕРЕ СВЯЗИ,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ИНФОРМАЦИОННЫХ ТЕХНОЛОГИЙ И МАССОВЫХ КОММУНИКАЦИЙ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Федеральная служба по надзору в сфере свя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зи, информационных технологий и массовых коммуникаций (Роскомнадзор) является 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является уполномоченным федеральным органом исполнительной власти по защите прав субъектов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Федеральная служба по надзору в сфере связи, информационных технологий и массовых коммуникаций находится в ведении Министерства цифрового развития, связи и массовых коммуникаций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Федеральная служба по надзору в сфере связи, информационных технологий и массовых коммуникаций руководствуется в своей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Конституцией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цифрового развития, связи и массовых коммуникаций Российской Федерации, а также настоящим Положением.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Федеральная служба по надзору в сфере связи, информационных технологий и массовых коммуникаций осуществляет свою деятельность непосредственно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II. ПОЛНОМОЧИЯ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Федеральная служба по надзору в сфере связи, информационных технологий и массовых коммуникаций осуществляет следующие полномочия: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осуществляет: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 федеральный государственный контроль (надзор):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5.1.1.1.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соблюдением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законодательства Российской Федерации о средствах массовой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 в области связи: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5.1.1.2.1. за соблюдением требований к построению сетей электросвязи и почтовой связи, требований к проектированию, строительству, реконструкции и эксплуатации сетей и сооружений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5.1.1.2.2. за соблюдением операторами связи и владельцами сетей связи специального назначения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пропуску трафика и его маршрутизации;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5.1.1.2.3. за соблюдением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распределения ресурса нумерации единой сети электросвязи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5.1.1.2.4. за соответствием использования операторами связи и владельцами сетей связи специального назначения выделенного им ресурса нумерации установленному порядку использования ресурса нумерации единой сети электросвязи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5.1.1.2.5. 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29.12.2021 № 2522;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5.1.1.2.6. за соблюдением пользователя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радиочастотного спектра порядка, требований и условий, относящихся к использованию радиоэлектронных средств или высокочастотных устройств, включая надзор с учетом сообщений (данных), полученных в процессе проведения радиочастотной службой радиоконтроля;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5.1.1.2.7. за выполнением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присоединения сетей электросвязи к сети связи общего пользования, в том числе условий присоединения;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5.1.1.2.8. за обеспечением доступности для инвалидов объектов,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абзацем первым части 1 статьи 15.1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социальной защите инвалидов в Российской Федерации", и предоставляемых услуг;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5.1.1.3 - 5.1.1.3.1. утратили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29.12.2021 № 2522;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5.1.1.4. 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29.06.2017 № 769;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5.1.1.5. за представлением обязательного федерального экземпляра документов в установленной сфере деятельности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5.1.1.6. за соблюдением законодательства Российской Федерации о защите детей от информации, причиняющей вред их здоро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вью и (или) развитию (за исключением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осуществление которого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Федеральной службе по надзору в сфере защиты прав потребителей и благополучия человека, утвержденным постановлением Пра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вительства Российской Федерации от 30 июня 2004 г. № 322 "Об утверждении Положения о Федеральной службе по надзору в сфере защиты прав потребителей и благополучия человека", отнесено к полномочиям Федеральной службы по надзору в сфере защиты прав потребите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лей и благополучия человека, а также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осуществление которого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Федеральной службе по надзору в сфере образования и науки, утвержденным постановлением Правительства Российской Федерации от 28 июля 2018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885 "Об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Федерации", отнесено к полномочиям Федеральной службы по надзору в сфере образования и науки);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5.1.1.7.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обработкой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персональных данных;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5.1.1.8. за соблюдением требований в связи с распространением информации в информационно-телекоммуникационных сетях, в том числе в сети "Интернет;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5.1.1.9. в сфере 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в отношении организаций федеральной почтовой связи и операторов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связи, имеющих право самостоятельно оказывать услуги подвижной радиотелефонной связи, а также операторов связи, занимающих существенное положение в сети связи общего пользования, которые имеют право самостоятельно оказывать услуги связи по передаче данных;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5.1(1). 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29.12.2021 № 2522;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присвоение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радиочастот или радиочастотного канала для радиоэлектронных средств на основании решения Государственной комиссии по радиочастотам;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5.1.3. регистрацию присвоения радиочастот и радиочастотных каналов;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лицензирование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деятельности, в том числе контроль за соблюдением лицензиатами лицензионных условий и требований: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5.1.4.1. в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телевизионного вещания и радиовещания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5.1.4.2. в области оказания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 связи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5.1.4.3. 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05.12.2019 № 1601;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5.1.5. присвоение позывных сигналов для опознавания радиоэлектронных средств гражданского назначения и регистрацию присвоения позывных сигналов;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аккредитацию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экспертов и экспертных организаций для проведения экспертизы информационной продукции в целях обеспечения информационной безопасности детей;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создание, формирование и 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единой автоматизированной информационной сист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емы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единый реестр);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.7(1). принятие мер по ограничению доступа к информационным ресурсам в информационно-телекоммуникационных сетях, в том числе в информационно-телекоммуникационной сети "Интернет", в пределах компетенции, установленной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5.1.7(2). внесение информации о владельце информационного ресурса в информационно-телекоммуникационной сети "Интернет", предназначенного и (или) используемого гражданами Российской Федерации и российскими юридическими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лицами (в том числе от имени зарегистрированных средств массовой информации) для распространения информации на государственном языке Российской Федерации, государственных языках республик в составе Российской Федерации, других языках народов Российской Фед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ерации, в перечень владельцев ресурсов в информационно-телекоммуникационной сети "Интернет", причастных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5.1.7(3). ведение реестра сай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 и (или) страниц сайтов в информационно-телекоммуникационной сети "Интернет", и (или) информационных систем, и (или) программ для электронных вычислительных машин, которые предназначены и (или) используются их пользователями для предоставления и (или)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500 тысяч пользователей сети "Интернет", находящихся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5.1.8. направление в Евразийскую экономическую комиссию предложений, содержащих сведения о радиоэлектронных средствах и (и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ли) высокочастотных устройствах гражданского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ельного документа), а также рассмотрение полученных из Евразийской экономической комиссии предложений от государственных органов государств - членов Евразийского экономического союза, содержащих сведения о радиоэлектронных средствах и (или) высокочастотных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устройствах гражданского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5.1.9. централизованное управление сетью связи общего пользования в случае возникновения угроз устойчивости, безопасности и целостности функционирования на территории Российской Федерации информационно-телекоммуникационной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сети "Интернет" и сети связи общего пользования путем управления техническими средствами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и сети связи общего пользования и (или) путем передачи обязательных к выполнению указаний операторам связи, собственникам или иным владельцам технологических сетей связи, собственникам или иным владельцам точек обмена трафиком, собственникам или иным вла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дельцам линий связи, пересекающих государственную границу Российской Федерации, организаторам распространения информации в информационно-телекоммуникационной сети "Интернет", имеющим уникальный идентификатор совокупности средств связи и иных технических ср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едств в информационно-телекоммуникационной сети "Интернет", а также иным лицам, если такие лица имеют уникальный идентификатор совокупности средств связи и иных технических средств в информационно-телекоммуникационной сети "Интернет", и лицам, указанным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 10.2-1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5.1.9(1). управление сетью связи общего пользования на основании требования Генерального прокурора Российской Федерации или его заместителей, предусмотренного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 статьи 65.2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связи", путем управления техническими средствами противодействия угрозам, установка которых предусмотрена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5.1 статьи 46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2 статьи 56.2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она "О связи", или путем передачи обязательных к выполнению указаний операторам связи, собственникам или иным владельцам технологических сетей связи, собственникам или иным владельцам точек обмена трафиком, собственникам или иным владельцам линий связи, 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ресекающих государственную границу Российской Федерации, иным лицам, если такие лица имеют уникальный идентификатор совокупности средств связи и иных технических средств в информационно-телекоммуникационной сети "Интернет", а также иным лицам, указанным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 10.2-1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5.1.9(2). информирование операторов связи, собственников или иных владельцев технологических сетей связи, собственников или иных владельцев точек обмена трафиком, собственников или иных владельцев линий связи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пересекающих государственную границу Российской Федерации, иных лиц, если такие лица имеют уникальный идентификатор совокупности средств связи и иных технических средств в информационно-телекоммуникационной сети "Интернет", а также иных лиц,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 10.2-1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информации", об осуществлении управления сетью связи общего пользования на основании требования Генерального прокурора Российской Федерации или его заместителей, предусмотренного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 статьи 65.2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5.1.10. координацию обеспечения устойчивого, безопасного и целостного функционирования на территории Российской Федерации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5.1.11. предоставление на бе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звозмездной основе операторам связи технических средств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"Интернет" и сети связи общего пользования;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5.1.12. информирование операторов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связи, собственников или иных владельцев технологических сетей связи, собственников или иных владельцев точек обмена трафиком, собственников или иных владельцев линий связи, пересекающих государственную границу Российской Федерации, организаторов распростр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анения информации в информационно-телекоммуникационной сети "Интернет", иных лиц, если такие лица имеют уникальный идентификатор совокупности средств связи и иных технических средств в информационно-телекоммуникационной сети "Интернет", и лиц,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 10.2-1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мации", участвующих в централизованном управлении, в случае возникновения угроз устойчивости, безопасности и целостности функционирования на территории Российской Федерации информационно-телекоммуникационной сети "Интернет" и сети связи общего пользования;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проведение мониторинга функционирования информационно-телекоммуникационной сети "Интернет" и сети связи общего пользования в целях выявления угроз устойчивости, безопасности и целостности функционирования указанных сетей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5.1.14. проведение с использованием государственной информационной системы мониторинга исполнения операторами связи обязанностей при оказании услуг связи мониторинга исполнения операторами подвижной радиотелефонной связи предусмотренных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 связи" обязанностей по проверке: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достоверности сведений об абонентах и сведений о пользователях услугами связи абонентов - юридических лиц либо индивидуальных предпринимателей, в том числе представленных лицами, действующими от имени операторов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сведений о количестве абонентских номеров, выделенных физическому лицу на основании договоров об оказании услуг связи и предоставленных физическому лицу в пользование абонентами - юридическими лицами либо индивидуальными предпринимателями;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использования идентификационного модуля в пользовательском оборудовании (оконечном оборудовании), указанном в договоре об оказании услуг связи с абонентом - иностранным гражданином или лицом без гражданства;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5.1.15. проведение мониторинга соблюдения операторами связи обязанностей,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пунктами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 статьи 46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2 статьи 46.1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связи", в том числе с использованием сведений, полученных из системы обеспечения соблюдения операторами связи требований при оказании услуг связи и услуг по пропуску трафика в сети связи общего пользования;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5.1.16. проведение обследования линий связи, пересекающих государственную границу Российской Федерации, и средств связи, к которым подключаются указанные линии связи, и принимает решение о включении св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едений об указанных линиях связи и средствах связи в реестр линий связи, пересекающих государственную границу Российской Федерации, и средств связи, к которым подключаются указанные линии связи, или об отказе во включении сведений о них в указанный реестр;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5.1.17. учет, хранение и обработк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информации о распространенных в информационно-телекоммуникационной сети "Интернет" рекламе и (или) социальной рекламе, в том числе сведений о рекламодателях и рекламораспространителях такой рекламы и (или) социальной рекламы, операторах рекламных систем;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5.1.18. создание, формирование и ведение автоматизированной информационной системы "Реестр нарушителей прав субъектов персональных данных";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5.1.19. исчисление обязательных отчислений,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1 статьи 18.2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рекламе", на основании информации, предоставленной в Службу в соответствии со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статьей 18.1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рекламе";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5.1.20. мониторинг за полнотой и своевременностью уплаты обязательных отчислений,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1 статьи 18.2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рекламе";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ведет: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реестр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операторов, занимающих существенное положение в сети связи общего пользования;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 устанавливает: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представления лицензиатом в лицензирующий орган сведени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ведения регистрирующим органом реестра зарегистрированных средств массовой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5.2(1).3. порядок формирования и ведения лицензирующим органом реестра лицензий на телевизионное вещание, радиовещание;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представления в лицензирующий орган оператором связи, осуществляющим трансляцию телеканалов и (или) радиоканалов по договору с вещателем, сведений о таком вещателе;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5.2(1).5. 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27.01.2018 № 76;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разрешения на распространение продукции зарубежного периодического печатного издания;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экспертам и экспертным организациям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аккредитации экспертов и экспертных организаций на право проведения экспертизы информационной продукции, включа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приостановление, возобновление или прекращение действия аккредитации экспертов и экспертных организаций,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взаимодействия оператора единого реестра с провайдером хостинга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получения доступа к содержащейся в едином реестре информации оператором связи, оказывающим услуги по предоставлению доступа к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подачи заявления о регистрации средства массовой информации, продукция которого предназначена для распространения преимущественно на территориях двух и более субъектов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выписки из реестра зарегистрированных средств массовой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аннулирования разрешения на распространение продукции зарубежного периодического печатного издания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учета информации, полученной в соответствии со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статьей 56.2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сроки, порядок, состав и формат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представления операторами связи, собственниками или иными владельцами технологических сетей связи, организаторами распространения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информации в информационно-телекоммуникационной сети "Интернет", имеющими уникальный идентификатор совокупности средств связи и иных технических средств в информационно-телекоммуникационной сети "Интернет", в электронной форме информации, предусмотренной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4 пункта 8 статьи 56.2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сроки, порядок, состав и формат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представления операторами связи, собственниками или иными владельцами технологических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сетей связи, иными лицами при использовании линий связи, пересекающих государственную границу Российской Федерации, в электронной форме информации о средствах связи, обеспечивающих взаимодействие с такими линиями связи, в том числе через иные линии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сроки, порядок, состав и формат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представления собственниками или иными владельцами линии связи, пересекающей государственную границу Российской Федерации, в электронной форме информации о цели использования линии связи, а также о средствах связи, установленных на указанной линии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маршрутизации сообщений электросвязи в случае осуществления централизованного управления сетью связи общего пользования;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 за досто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верностью и полнотой представляемой собственниками или иными владельцами линии связи, пересекающей государственную границу Российской Федерации, информации о цели использования линии связи, а также о средствах связи, установленных на указанной линии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 за соблюдением операторами связи, собственниками или иными владельцами технологических сетей связи, организаторами распространения информации в информационно-телекоммуникационной сети "Интернет", имеющими уникальный идентификатор сово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купности средств связи и иных технических средств в информационно-телекоммуникационной сети "Интернет", обязанности использования точек обмена трафиком, сведения о которых содержатся в реестре точек обмена трафиком, для взаимодействия с имеющими уникальный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идентификатор совокупности средств связи и иных технических средств в информационно-телекоммуникационной сети "Интернет" операторами связи, собственниками или иными владельцами технологических сетей связи, иными лицами для передачи сообщений электросвязи;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5.2(1).19.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 за соблюдением собственниками или иными владельцами точек обмена трафиком запрета на подключение к точкам обмена трафиком сетей связи, владельцы которых не соблюдают требования, предусмотренные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3 пункта 9 статьи 56.2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2 статьи 64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групп доменных имен, составляющих российскую национальную доменную зону;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национальной системе доменных имен, требования к ней, порядок ее создания, в том числе формирования информации, содержащейся в ней, а также правила ее использования, включая условия и порядок предоставления доступа к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центре мониторинга и управления сетью связи общего пользования в составе радиочастотной службы,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ления центром мониторинга и управления сетью связи общего пользования организационных и технических мер, необходимых для реализации Федеральной службой по надзору в сфере связи, информационных технологий и массовых коммуникаций полномочий,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5.1 статьи 46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пунктами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 статьи 65.1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технические условия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установки технических средств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"Интернет" и сети связи общего пользования,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сетям связи при использовании технических средств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"Интернет" и сети связи общего пользования;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техническим средствам контроля за соблюдением оператором связи, собственником или иным владельцем технологических сетей связи требований Федерального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 связи", а также требований Федерального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"Об информации, информационных технологиях и о защите информации", предусматривающих ограничение доступа к информации,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установке таких технических средств контроля и их эксплуатации в сетях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5.2(1).25. 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30.03.2023 № 504;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формирования и ведения перечня персональных страниц, объем аудитории каждой из которых составляет более 10 тыс. пользователей сайта и (или) страницы сайта в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мационно-телекоммуникационной сети "Интернет",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 иных языках народов Российской Федерации, на которых может распространяться реклама, направленная на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ривлечение внимания потребителей, находящихся на территории Российской Федерации, и доступ к которым в течение суток составляет более 500 тыс. пользователей информационно-телекоммуникационной сети "Интернет", находящихся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предоставления технических средств контроля за соблюдением оператором связи, собственником или иным владельцем технологических сетей связи требований Федерального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 связи", а также требований Федерального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"Об информации, информационных технологиях и о защите информации", предусматривающих ограничение доступа к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5.2(1).28. сроки, порядок, состав и формат предоставления в электронной форме операторами связи, указанными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5.2 статьи 46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связи", в Федеральную службу по надзору в сфере связи, информационных технологий и массовых коммуникаций информации, позволяющей идентифицирова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средства связи и пользовательское оборудование (оконечное оборудование) в информационно-телекоммуникационной сети "Интернет" на территории Российской Федерации, территории субъекта Российской Федерации или части территории субъекта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5.2(1).29.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сроки реагирования Федеральной службы по надзору в сфере связи, информационных технологий и массовых коммуникаций на требование Генерального прокурора Российской Федерации или его заместителей, предусмотренное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 статьи 65.2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связи", по согласованию с Генеральной прокуратурой Российской Федерации и Федеральной службой безопасности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5.2(1).30. требования к обезличиванию персональных данных и методы обезличивания персональных данных, за исключением случаев,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9.1 части 1 статьи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персональных данных";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5.2.2. реестр зарегистрированных средств массовой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5.2.3. реестры лицензий;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5.2.4. реестр операторов, осуществляющих обработку персональных данных;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реестр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радиоэлектронных средств и высокочастотных устройств гражданского назначения, разрешенных для ввоза на территорию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реестр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экспертов и экспертных организаций, аккредитованных для проведения экспертизы информационной продукции в целях обеспечения информационной безопасности детей;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5.2.7. реестр зарегистрированных радиоэлектронных средств и высокочастотных устройств;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5.2.8. ведет реестр точек обмена трафиком;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5.2.9. реестр линий связи, пересекающих государственную границу Российской Федерации, и средств связи, к которым подключаются указанные линии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5.2.10. перечень иностранных лиц, осуществляющих деятельность в информационно-телекоммуникационной сети "Интернет" на территории Российской Федерации, и принимае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решение о применении мер понуждения к исполнению иностранными лицами, осуществляющими деятельность в информационно-телекоммуникационной сети "Интернет" на территории Российской Федерации, требований законодательства Российской Федерации,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статьей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деятельности иностранных лиц в информационно-телекоммуникационной сети "Интернет" на территории Российской Федерации";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5.2.11. реестр провайдеров хостинга;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5.2.12. реестр сайтов и (или) страниц сайтов в информационно-телекоммуникационной сети "Интернет", и (или) информационных систем, и (или) программ для электронных вычислительных машин, которые используются для обработки и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аспространения новостной информации в информационно-телекоммуникационной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1 млн. пользователей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5.2.13. реестр сайтов и (или) страниц сайтов в информационно-телекоммуникационной сети "Интернет", и (или) информационных систем, и (или) программ для электронных вычислительных машин, которые испо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льзуются для формирования и (или) организации распространения в информационно-телекоммуникационной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ривлечение внимания потребителей, находящихся на территории Российской Федерации, и доступ к которым в течение суток составляет более 100 тыс. пользователей информационно-телекоммуникационной сети "Интернет", находящихся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14. реестр сайтов и (или) страниц сайтов в информационно-телекоммуникационной сети "Интернет", и (или) информационных систем, и (или) программ для электронных вычислительных машин, которые предназначены и (или) используются для организации взаимодействия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пользователей между собой в целях купли-продажи, мены и (или) передачи в пользование движимого и (или) недвижимого имущества, выполнения работ, оказания услуг, поиска подходящей работы и (или) подбора необходимых работников за счет предоставления их поль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зователям возможности самостоятельно размещать объявления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 купле-продаже, мене и (или) передаче в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ользование движимого и (или) недвижимого имущества, выполнении работ, об оказании услуг, о поиске подходящей работы и (или) подборе необходимых сотрудников, тематически сгруппированные в зависимости от содержания таких объявлений, а также за счет предостав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ления их пользователям возможности самостоятельно обращаться по таким объявлениям и доступ к которым в течение суток составляет более 100 тыс. пользователей информационно-телекоммуникационной сети "Интернет", находящихся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5.2.15. перечень персональных страниц, объем аудитории каждой из которых составляет более 10 тыс. пользователей сайта и (или) страницы сайта в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мационно-телекоммуникационной сети "Интернет",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 иных языках народов Российской Федерации, на которых может распространяться реклама, направленная на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ривлечение внимания потребителей, находящихся на территории Российской Федерации, и доступ к которым в течение суток составляет более 500 тыс. пользователей информационно-телекоммуникационной сети "Интернет", находящихся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 организует: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5.3.1.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5.3.2. деятельность радиочастотной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5.3.3. проведение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торгов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получение лицензий в области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5.3.5. сезонное планирование использования высокочастотных полос радиовещательными службами,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5.3.6. 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01.12.2015 № 1298;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экспертизы информационной продукции в целях обеспечения информационной безопасности детей;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5.3.8. выполнение в установленном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 по международно-правовой защите присвоения радиочастот или радиочастотных каналов;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5.3(1). утверждает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Федеральной конкурсной комиссии по телерадиовещанию;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5.3(2). образует Федеральную конкурсную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телерадиовещанию, организует и обеспечивает ее деятельность;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5.4. регистрирует: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5.4.1.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массовой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5.4.2. радиоэлектронные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высокочастотные устройства гражданского назначения;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5.4.3. сети электросвязи, входящие в сеть связи общего пользования, подлежащие регистрации в соответствии с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 выдает разрешения: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5.5.1.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распространение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продукции зарубежных периодических печатных изданий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5.5.2.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применение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франкировальных машин;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5.5.3.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строительство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5.5.4. на судовые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радиостанции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используемые на морских судах, судах внутреннего плавания и судах смешанного (река - море) плавания;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5.5.5.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ввоз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5.6. осуществляет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рассматривает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обращения операторов связи по вопросам присоединения сетей электросвязи и взаимодействия операторов связи, принимает по ним решения и выдает предписания в соответствии с федеральным законом;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5.7(1). принимает мотивированное решение о признании сайта в информационно-телекомму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никационных сетях, в том числе в информационно-телекоммуникационной сети "Интернет", сайтом, сходным до степени смешения с сайтом в информационно-телекоммуникационной сети "Интернет", доступ к которому ограничен по решению Московского городского суда в свя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зи с неоднократным и неправомерным размещением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информационно-телекоммуникационной сети "Интернет" (далее - копия заблокированного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айта), и направляет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информационно-телекоммуникационной сети "Интернет" копией заблокированного сайта;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5.8. осуществляет функции главного распорядителя и получателя средств федерального бюджета, предусмотренных на содержание Сл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ужбы и реализацию возложенных на нее функций, а также полномочия главного администратора и администратора доходов федерального бюджета, главного администратора и администратора источников финансирования дефицита федерального бюджета в сфере ведения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5.9. осуществляет в порядке и пределах, которые определены федеральными законами, актами Президента Российской Федерации и Правительства Российской Федерации, полномочия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бственника в отношении федерального имущества, необходимого для обеспечения исполнения функций федерального органа государственной власти, в том числе имущества, переданного организациям, подведомственным Службе (включая предприятия радиочастотной службы);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5.10. осуществляет анализ экономической эффективности деятельности федеральных государственных унитарных предприятий и федеральных государственных учреждени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й, подведомственных Службе, и утверждает показатели экономической эффективности их деятельности, а также проводит в этих организациях проверки финансово-хозяйственной деятельности, в том числе целевого и эффективного использования имущественного комплекса;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5.11. осуществляет прием граждан и обеспечивает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5.12. обеспечивает защиту сведений, составляющих государственную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тайну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процессе деятельности Службы, а также контроль за деятельностью ее территориальных органов и подведомственных организаций в указанной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5.13. обеспечивает мобилизационную подготовку Службы, а также контроль и координацию деятельности ее территориальных органов и подведомственных организаций по их мобилизационной подготовке;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5.13(1). осуществляет организацию и ведение гражданской обороны в Службе;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5.14. организует дополнительное профессиональное образование работников центрального аппарата Службы и ее территориальных органов;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5.15.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ведения;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5.16.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5.16(1). осуществляет от имени Российской Федерации функции и полномочия учредителя некоммерческой организации, которая осуществляет координацию деятельности по фо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рмированию доменных имен, входящих в группы доменных имен, составляющих российскую национальную доменную зону, и которая является зарегистрированным владельцем баз данных этой зоны в международных организациях распределения сетевых адресов и доменных имен;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5.16(2). осуществляет мероприятия по обеспечению соответствия деятельности Службы целям и задачам государственной политики по сохранению и укреплению традиционных российских духовно-нравственных ценностей;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5.17. осуществляет иные функции в установленной сфере ведения,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 запрашивать и получать в установленном порядке сведения, необходимые для принятия решений по вопросам, отнесенным к компетенции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 проводить необходимые расследования, испытания, экспертизы, анализы и оценки, а также научные исследования по вопросам, отнесенным к компетенции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6.3. привлекать в установленном порядке для проработки вопросов, отнесенных к компетенции Службы, научные и иные организации, а также ученых и специалистов;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6.4. давать государственным органам, органам местного самоуправления, юридическим и физическим лицам разъяснения по вопросам, отнесенным к компетенции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6.5. в порядке и случаях, которые установлены законодательством Российской Фе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дерации, применять в установленной сфере ведения меры профилактического и пресекательного характера, направленные на недопущение нарушений юридическими лицами и гражданами обязательных требований в этой сфере и (или) ликвидацию последствий таких нарушений;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6.6. создавать совещательные и экспертные органы (советы,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группы и коллегии), в том числе межведомственные, в установленной сфере ведения;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6.7. осуществлять контроль за деятельностью территориальных органов Службы, а также за деятельностью подведомственных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6.8. утверждать образцы служебных удостоверений;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6.9.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критериями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которые определяются Правительством Российской Федерации, привлекать к формированию и ведению единого реестра оператора единого реестра - организацию, зарегистрированную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6.10. учреждать в порядке, установленном нормативными прав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овыми актами Российской Федерации, ведомственные награды и награждать ими работников центрального аппарата Службы, ее территориальных органов и подведомственных организаций, а также других лиц, осуществляющих деятельность в установленной сфере, утверждать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этих наградах, а также их описание.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Федеральная служба по надзору в сфере связи,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мационных технологий и массовых коммуникаций не вправе оказывать платные услуги в установленной сфере ведения, кроме случаев, установленных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III. ОРГАНИЗАЦИЯ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Федеральную службу по надзору в сфере связи, информа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ционных технологий и массовых коммуникаций возглавляет руководитель, назначаемый на должность и освобождаемый от должности Правительством Российской Федерации по представлению Министра цифрового развития, связи и массовых коммуникаций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Федеральной службы по надзору в сфере связи, информационных технологий и массовых коммуникаций несет персональную ответственность за осуществление возложенных на Службу полномочий.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Федеральной службы по надзору в сфере связи,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нформационных технологий и массовых коммуникаций имеет заместителей, назначаемых на должность и освобождаемых от должности Правительством Российской Федерации по представлению Министра цифрового развития, связи и массовых коммуникаций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заместителей руководителя Службы устанавливается Правительством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Руководитель Федеральной службы по надзору в сфере связи, информационных технологий и массовых коммуникаций: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9.1. распределяет обязанности между своими заместителями;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9.2. представляет Министру цифрового развития, связи и массовых коммуникаций Российской Федерации: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9.2.1. проект положения о Службе;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9.2.2. предложения о предельной численности и фонде оплаты труда работников центрального аппарата Службы и ее территориальных органов;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9.2.3. предложения о назначении на должность и об освобождении от должности заместителей руководителя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9.2.4. предложения о назначении на должность и об освобождении от должности руководителей территориальных органов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9.2.5. проект ежегодного плана и прогнозные показатели деятельности Службы, а также отчет о ее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9.2.6. предложения по формированию проекта федерального бюджета в части финансового обеспечения деятельности Службы, ее территориальных органов и подведомственных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9.2.7. предложения о представлении к награждению государственными наградами Российской Федерации, Почетной грамотой Президента Российской Федерации, Почетной грамотой Правительст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 Российской Федерации, к поощрению в виде объявления благодарности Президента Российской Федерации, объявления благодарности Правительства Российской Федерации, о награждении ведомственным знаком отличия Министерства цифрового развития, связи и массовых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коммуникаций Российской Федерации, дающим право на присвоение звания "Ветеран труда", работников центрального аппарата Службы, ее территориальных органов и подведомственных организаций, а также других лиц, осуществляющих деятельность в установленной сфере;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9.3. назначает на должн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ость и освобождает от должности работников центрального аппарата Службы, заместителей руководителей ее территориальных органов, а также руководителей подведомственных организаций, заключает и расторгает трудовые контракты с руководителями этих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9.4. решает в соответствии с законодательством Российской Федерации о государственной службе вопросы, связанные с прохождением федеральной государственной службы в Службе и ее территориальных органах;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9.5. утверждает структуру и штатное расписание центрального аппарата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Службы в пределах установленных Правительством Российской Федерации фонда оплаты труда и численности работников, а также смету расходов на ее содержание в пределах утвержденных на соответствующий период ассигнований, предусмотренных в федеральном бюджете;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9.6. утверждает численность и фонд оплаты труда раб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отников территориальных органов Службы в пределах показателей, установленных Правительством Российской Федерации, а также смету расходов на их содержание в пределах утвержденных на соответствующий период ассигнований, предусмотренных в федеральном бюджете;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9.7. на основании и во исполнение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Конституции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Федерации, федеральных конституционных законов, федеральных законов, актов Президента Российской Федерации и Правительства Российской Федерации издает в пределах своей компетенции акты ненормативного характера по вопросам, отнесенным к компетенции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Финансовое обеспечение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асходов на содержание центрального аппарата Федеральной службы по надзору в сфере связи, информационных технологий и массовых коммуникаций и ее территориальных органов осуществляется в пределах бюджетных ассигнований, предусмотренных в федеральном бюджете.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Федеральная служба по надзору в сфере связи, информационных технологий и массовых комму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никаций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лицевые счета, открываемые в соответствии с бюджетным законод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ательством Российской Федерации в Федеральном казначействе и его территориальных органах в валюте Российской Федерации, а также счета в кредитных организациях, открываемые для учета операций в соответствии с валютным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вправе иметь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геральдический знак - эмблему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флаг и вымпел, учреждаемые Министерством цифрового развития, связи и массовых коммуникаций Российской Федерации по согласованию с Геральдическим советом при Президенте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Место нахождения Федеральной службы по надзору в сфере связи, информационных технологий и массовых коммуникаций - г. Москва.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16 марта 2009 г. № 228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ГОСУДАРСТВЕННЫХ УНИТАРНЫХ ПРЕДПРИЯТИЙ,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ПЕРЕДАВАЕМЫХ В ВЕДЕНИЕ ФЕДЕРАЛЬНОЙ СЛУЖБЫ ПО НАДЗОРУ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СВЯЗИ, ИНФОРМАЦИОННЫХ ТЕХНОЛОГИЙ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МАССОВЫХ КОММУНИКАЦИЙ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Утратил силу.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РФ от 17.08.2021 № 1355.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before="100" w:after="100"/>
        <w:rPr>
          <w:rFonts w:ascii="Times New Roman" w:hAnsi="Times New Roman" w:cs="Times New Roman"/>
          <w:sz w:val="28"/>
          <w:szCs w:val="28"/>
        </w:rPr>
        <w:pBdr>
          <w:bottom w:val="single" w:color="000000" w:sz="6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57" w:right="566" w:bottom="1440" w:left="1133" w:header="448" w:footer="60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spacing w:line="240" w:lineRule="auto"/>
    </w:pPr>
    <w:r>
      <w:rPr>
        <w:sz w:val="24"/>
        <w:szCs w:val="24"/>
      </w:rPr>
    </w: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Normal"/>
    <w:qFormat/>
  </w:style>
  <w:style w:type="paragraph" w:styleId="699">
    <w:name w:val="Heading 1"/>
    <w:basedOn w:val="698"/>
    <w:next w:val="698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698"/>
    <w:next w:val="69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698"/>
    <w:next w:val="698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698"/>
    <w:next w:val="698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698"/>
    <w:next w:val="698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698"/>
    <w:next w:val="698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698"/>
    <w:next w:val="698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698"/>
    <w:next w:val="698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98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698"/>
    <w:next w:val="698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698"/>
    <w:next w:val="698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698"/>
    <w:next w:val="698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698"/>
    <w:next w:val="698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698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698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698"/>
    <w:next w:val="698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698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98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87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7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7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8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8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8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8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8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8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16.03.2009 N 228
(ред. от 03.07.2025)
"О Федеральной службе по надзору в сфере связи, информационных технологий и массовых коммуникаций"
(вместе с "Положением о Федеральной службе по надзору в сфере связи, информационных технологий и массовых коммуникаций")</dc:title>
  <cp:lastModifiedBy>te-614@JSRK.RU</cp:lastModifiedBy>
  <cp:revision>2</cp:revision>
  <dcterms:created xsi:type="dcterms:W3CDTF">2026-02-09T11:54:01Z</dcterms:created>
  <dcterms:modified xsi:type="dcterms:W3CDTF">2026-02-09T12:22:21Z</dcterms:modified>
</cp:coreProperties>
</file>