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F05EBF">
        <w:rPr>
          <w:rFonts w:ascii="Times New Roman" w:hAnsi="Times New Roman" w:cs="Times New Roman"/>
          <w:color w:val="000000" w:themeColor="text1"/>
          <w:sz w:val="28"/>
          <w:szCs w:val="28"/>
        </w:rPr>
        <w:t>18 декабря 2024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F05EB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</w:t>
      </w:r>
      <w:r w:rsidR="00F05EB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F05EB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с использованием конкретных радиочастот и признании утратившими силу некоторых актов Правительства Российской Федерации», сообщает, </w:t>
      </w:r>
      <w:r w:rsidR="00F05EBF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F05EBF">
        <w:rPr>
          <w:b/>
          <w:sz w:val="28"/>
          <w:szCs w:val="28"/>
        </w:rPr>
        <w:t xml:space="preserve">18 декабря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F05EBF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F05EBF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Белгородская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Белгород г (92,2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2 550 000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Белгородская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Белгород г (92,6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2 550 000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05EB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Омск г (97,7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07.02.2025).</w:t>
                  </w:r>
                </w:p>
              </w:tc>
            </w:tr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05EBF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Омск г (98,1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6 100 000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122 000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07.02.2025).</w:t>
                  </w:r>
                </w:p>
              </w:tc>
            </w:tr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Белово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05EB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России).</w:t>
                  </w:r>
                  <w:proofErr w:type="gramEnd"/>
                </w:p>
              </w:tc>
            </w:tr>
            <w:tr w:rsidR="009C0BD7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Белово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(94,9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05EBF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05EB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05EBF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России).</w:t>
                  </w:r>
                  <w:proofErr w:type="gramEnd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F05EBF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F05EB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</w:t>
      </w:r>
      <w:bookmarkStart w:name="_GoBack" w:id="0"/>
      <w:bookmarkEnd w:id="0"/>
      <w:r w:rsidRPr="001F5499">
        <w:rPr>
          <w:sz w:val="28"/>
        </w:rPr>
        <w:t xml:space="preserve">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F05EBF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F05EBF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22 ноября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F05EBF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22 ноября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F05EBF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F05EBF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22 ноября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22 ноября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22 ноября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22 ноября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F05EBF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F05EBF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F05EBF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F05EBF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F05EBF" w:rsidP="00902A35" w:rsidRDefault="00F05EBF">
      <w:pPr>
        <w:jc w:val="both"/>
        <w:rPr>
          <w:sz w:val="28"/>
        </w:rPr>
      </w:pPr>
    </w:p>
    <w:p w:rsidR="00F05EBF" w:rsidP="00F05EBF" w:rsidRDefault="00F05EBF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F05EBF" w:rsidP="00F05EBF" w:rsidRDefault="00F05EBF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</w:t>
      </w:r>
      <w:r w:rsidRPr="00816E5A">
        <w:rPr>
          <w:b/>
          <w:sz w:val="28"/>
        </w:rPr>
        <w:lastRenderedPageBreak/>
        <w:t xml:space="preserve">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F05EBF" w:rsidP="00F05EBF" w:rsidRDefault="00F05EBF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F05EBF" w:rsidP="00F05EBF" w:rsidRDefault="00F05EBF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F05EBF" w:rsidP="00F05EBF" w:rsidRDefault="00F05EBF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</w:t>
      </w:r>
      <w:r w:rsidR="001676AB">
        <w:rPr>
          <w:b/>
          <w:sz w:val="28"/>
          <w:szCs w:val="28"/>
        </w:rPr>
        <w:t>-4</w:t>
      </w:r>
      <w:r w:rsidRPr="007A621E">
        <w:rPr>
          <w:b/>
          <w:sz w:val="28"/>
          <w:szCs w:val="28"/>
        </w:rPr>
        <w:t xml:space="preserve">): </w:t>
      </w:r>
    </w:p>
    <w:p w:rsidR="00F05EBF" w:rsidP="00F05EBF" w:rsidRDefault="00F05EBF">
      <w:pPr>
        <w:jc w:val="both"/>
        <w:rPr>
          <w:sz w:val="28"/>
          <w:szCs w:val="28"/>
        </w:rPr>
      </w:pP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F05EBF" w:rsidP="00F05EBF" w:rsidRDefault="00F05EBF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F05EBF" w:rsidP="00F05EBF" w:rsidRDefault="00F05EBF">
      <w:pPr>
        <w:jc w:val="both"/>
        <w:rPr>
          <w:bCs/>
          <w:sz w:val="28"/>
          <w:szCs w:val="28"/>
        </w:rPr>
      </w:pPr>
    </w:p>
    <w:p w:rsidRPr="001B035F" w:rsidR="00F05EBF" w:rsidP="00F05EBF" w:rsidRDefault="00F05EB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F05EBF" w:rsidP="00F05EBF" w:rsidRDefault="00F05EB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F05EBF" w:rsidP="001676AB" w:rsidRDefault="00F05EB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F05EBF" w:rsidP="001676AB" w:rsidRDefault="00F05EB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1676AB" w:rsidP="001676AB" w:rsidRDefault="00F05EB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F05EBF" w:rsidP="001676AB" w:rsidRDefault="00F05EB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F05EBF" w:rsidP="001676AB" w:rsidRDefault="00F05EB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1676AB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F05EBF" w:rsidP="00F05EBF" w:rsidRDefault="00F05EBF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1676AB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676AB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5CE8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0BD7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5EBF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7E177C88-60F4-4DD6-A0C8-1C86A57EE357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2079</properties:Words>
  <properties:Characters>11853</properties:Characters>
  <properties:Lines>98</properties:Lines>
  <properties:Paragraphs>27</properties:Paragraphs>
  <properties:TotalTime>1484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13905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2024-10-16T12:14:00Z</dcterms:created>
  <cp:lastModifiedBy/>
  <cp:lastPrinted>2015-02-27T09:24:00Z</cp:lastPrinted>
  <dcterms:modified xmlns:xsi="http://www.w3.org/2001/XMLSchema-instance" xsi:type="dcterms:W3CDTF">2024-10-16T12:27:00Z</dcterms:modified>
  <cp:revision>41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{7e177c88-60f4-4dd6-a0c8-1c86a57ee357}</vt:lpwstr>
  </prop:property>
</prop:Properties>
</file>