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 xml:space="preserve">И МАССОВЫХ КОММУНИКАЦИЙ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35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результатах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28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января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20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26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</w:r>
      <w:r>
        <w:rPr>
          <w:rFonts w:ascii="Times New Roman" w:hAnsi="Times New Roman" w:cs="Times New Roman"/>
          <w:bCs w:val="0"/>
          <w:sz w:val="28"/>
          <w:szCs w:val="20"/>
        </w:rPr>
      </w:r>
    </w:p>
    <w:p>
      <w:pPr>
        <w:jc w:val="center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69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>
        <w:rPr>
          <w:sz w:val="28"/>
          <w:szCs w:val="28"/>
        </w:rPr>
        <w:t xml:space="preserve">с </w:t>
      </w:r>
      <w:hyperlink r:id="rId10" w:tooltip="garantF1://93369.125221" w:history="1">
        <w:r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5.3</w:t>
        </w:r>
        <w:r>
          <w:rPr>
            <w:sz w:val="28"/>
            <w:szCs w:val="28"/>
            <w:vertAlign w:val="superscript"/>
          </w:rPr>
          <w:t xml:space="preserve">1</w:t>
        </w:r>
        <w:r>
          <w:rPr>
            <w:sz w:val="28"/>
            <w:szCs w:val="28"/>
          </w:rPr>
          <w:t xml:space="preserve"> и 5.3</w:t>
        </w:r>
        <w:r>
          <w:rPr>
            <w:sz w:val="28"/>
            <w:szCs w:val="28"/>
            <w:vertAlign w:val="superscript"/>
          </w:rPr>
          <w:t xml:space="preserve">2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26 января 2012 г. № 25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выделении конкретных радиочастот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сообщает следующее.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697"/>
        <w:jc w:val="both"/>
        <w:spacing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состоялось заседание Федеральной конкурсной комиссии по телерадиовещанию.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 xml:space="preserve">проведения конкурс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онкурс)</w:t>
      </w:r>
      <w:r>
        <w:rPr>
          <w:sz w:val="28"/>
          <w:szCs w:val="28"/>
        </w:rPr>
        <w:t xml:space="preserve"> победителями признаны: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59"/>
        <w:numPr>
          <w:ilvl w:val="0"/>
          <w:numId w:val="37"/>
        </w:numPr>
        <w:jc w:val="both"/>
        <w:tabs>
          <w:tab w:val="clear" w:pos="720" w:leader="none"/>
        </w:tabs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«ИНТЕР-РАДИО-ГРУПП»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Санкт-Петербург; г. Мурино (пункт установки передатчика - г. Санкт-Петербург), </w:t>
      </w:r>
      <w:r>
        <w:rPr>
          <w:b w:val="0"/>
          <w:bCs w:val="0"/>
          <w:sz w:val="28"/>
          <w:szCs w:val="28"/>
          <w:highlight w:val="white"/>
        </w:rPr>
        <w:t xml:space="preserve">Всеволожский р-н, Ленинградская обл.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104,8 МГц, 4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/>
      <w:r>
        <w:rPr>
          <w:b w:val="0"/>
          <w:bCs w:val="0"/>
          <w:sz w:val="28"/>
          <w:szCs w:val="28"/>
          <w:highlight w:val="white"/>
        </w:rPr>
      </w:r>
    </w:p>
    <w:p>
      <w:pPr>
        <w:pStyle w:val="95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«РАДИОАЛЬЯНС»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г. Мариуполь, Донецкая Народная Республика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92,2 МГц, 1 кВт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59"/>
        <w:numPr>
          <w:ilvl w:val="0"/>
          <w:numId w:val="37"/>
        </w:numPr>
        <w:jc w:val="both"/>
        <w:tabs>
          <w:tab w:val="clear" w:pos="720" w:leader="none"/>
        </w:tabs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МИА «РОССИЯ СЕГОДНЯ»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г. Мариуполь, Донецкая Народная Республика,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</w:rPr>
        <w:t xml:space="preserve">106,9 МГц, 0,6 кВт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/>
      <w:r>
        <w:rPr>
          <w:b w:val="0"/>
          <w:bCs w:val="0"/>
          <w:sz w:val="28"/>
          <w:szCs w:val="28"/>
          <w:highlight w:val="white"/>
        </w:rPr>
      </w:r>
    </w:p>
    <w:p>
      <w:pPr>
        <w:pStyle w:val="959"/>
        <w:numPr>
          <w:ilvl w:val="0"/>
          <w:numId w:val="37"/>
        </w:numPr>
        <w:jc w:val="both"/>
        <w:tabs>
          <w:tab w:val="clear" w:pos="720" w:leader="none"/>
        </w:tabs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«НАШЕ РАДИО»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г. Артем, Приморский край, </w:t>
      </w:r>
      <w:r>
        <w:rPr>
          <w:b w:val="0"/>
          <w:bCs w:val="0"/>
          <w:sz w:val="28"/>
          <w:szCs w:val="28"/>
          <w:highlight w:val="white"/>
        </w:rPr>
        <w:t xml:space="preserve">92,0 МГц, </w:t>
        <w:br/>
        <w:t xml:space="preserve">0,1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/>
    </w:p>
    <w:p>
      <w:pPr>
        <w:pStyle w:val="959"/>
        <w:numPr>
          <w:ilvl w:val="0"/>
          <w:numId w:val="37"/>
        </w:numPr>
        <w:jc w:val="both"/>
        <w:tabs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КГБУ «ОБЩЕСТВЕННОЕ ТЕЛЕВИДЕНИЕ ПРИМОРЬЯ» </w:t>
      </w:r>
      <w:r>
        <w:rPr>
          <w:b w:val="0"/>
          <w:bCs w:val="0"/>
          <w:sz w:val="28"/>
          <w:szCs w:val="28"/>
          <w:highlight w:val="none"/>
        </w:rPr>
        <w:t xml:space="preserve">– </w:t>
        <w:br/>
        <w:t xml:space="preserve">г. Артем, Приморский край, </w:t>
      </w:r>
      <w:r>
        <w:rPr>
          <w:b w:val="0"/>
          <w:bCs w:val="0"/>
          <w:sz w:val="28"/>
          <w:szCs w:val="28"/>
          <w:highlight w:val="none"/>
        </w:rPr>
        <w:t xml:space="preserve">93,0 МГц, 0,1 кВт</w:t>
      </w:r>
      <w:r>
        <w:rPr>
          <w:b w:val="0"/>
          <w:bCs w:val="0"/>
          <w:sz w:val="28"/>
          <w:szCs w:val="28"/>
          <w:highlight w:val="none"/>
        </w:rPr>
        <w:t xml:space="preserve">, концепция вещания: «свободная»;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59"/>
        <w:numPr>
          <w:ilvl w:val="0"/>
          <w:numId w:val="37"/>
        </w:numPr>
        <w:jc w:val="both"/>
        <w:tabs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АНО РАДИОКАНАЛ «ВЕРА, НАДЕЖДА, ЛЮБОВЬ»</w:t>
      </w:r>
      <w:r>
        <w:rPr>
          <w:b w:val="0"/>
          <w:bCs w:val="0"/>
          <w:sz w:val="28"/>
          <w:szCs w:val="28"/>
          <w:highlight w:val="none"/>
        </w:rPr>
        <w:t xml:space="preserve"> – </w:t>
        <w:br/>
      </w:r>
      <w:r>
        <w:rPr>
          <w:b w:val="0"/>
          <w:bCs w:val="0"/>
          <w:sz w:val="28"/>
          <w:szCs w:val="28"/>
          <w:highlight w:val="none"/>
        </w:rPr>
        <w:t xml:space="preserve">г. Новочебоксарск (пункт установки передатчика - г. Чебоксары) Чувашская Республика - Чувашия</w:t>
      </w:r>
      <w:r>
        <w:rPr>
          <w:b w:val="0"/>
          <w:bCs w:val="0"/>
          <w:sz w:val="28"/>
          <w:szCs w:val="28"/>
          <w:highlight w:val="none"/>
        </w:rPr>
        <w:t xml:space="preserve">, </w:t>
      </w:r>
      <w:r>
        <w:rPr>
          <w:b w:val="0"/>
          <w:bCs w:val="0"/>
          <w:sz w:val="28"/>
          <w:szCs w:val="28"/>
          <w:highlight w:val="none"/>
        </w:rPr>
        <w:t xml:space="preserve">90,3 МГц, 0,5 кВт</w:t>
      </w:r>
      <w:r>
        <w:rPr>
          <w:b w:val="0"/>
          <w:bCs w:val="0"/>
          <w:sz w:val="28"/>
          <w:szCs w:val="28"/>
          <w:highlight w:val="none"/>
        </w:rPr>
        <w:t xml:space="preserve">, </w:t>
      </w:r>
      <w:r>
        <w:rPr>
          <w:b w:val="0"/>
          <w:bCs w:val="0"/>
          <w:sz w:val="28"/>
          <w:szCs w:val="28"/>
          <w:highlight w:val="none"/>
        </w:rPr>
        <w:t xml:space="preserve">концепция вещания: «свободная»</w:t>
      </w:r>
      <w:r>
        <w:rPr>
          <w:b w:val="0"/>
          <w:bCs w:val="0"/>
          <w:sz w:val="28"/>
          <w:szCs w:val="28"/>
          <w:highlight w:val="none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59"/>
        <w:numPr>
          <w:ilvl w:val="0"/>
          <w:numId w:val="37"/>
        </w:numPr>
        <w:jc w:val="both"/>
        <w:tabs>
          <w:tab w:val="clear" w:pos="720" w:leader="none"/>
        </w:tabs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ООО «ГПМ РАДИО»</w:t>
      </w:r>
      <w:r>
        <w:rPr>
          <w:b w:val="0"/>
          <w:bCs w:val="0"/>
          <w:sz w:val="28"/>
          <w:szCs w:val="28"/>
          <w:highlight w:val="none"/>
        </w:rPr>
        <w:t xml:space="preserve"> – г. Новочебоксарск (пункт установки передатчика - г. Чебоксары) Чувашская Республика - Чувашия, </w:t>
        <w:br/>
      </w:r>
      <w:r>
        <w:rPr>
          <w:b w:val="0"/>
          <w:bCs w:val="0"/>
          <w:sz w:val="28"/>
          <w:szCs w:val="28"/>
          <w:highlight w:val="none"/>
        </w:rPr>
        <w:t xml:space="preserve">98,1 МГц, 0,45 кВт</w:t>
      </w:r>
      <w:r>
        <w:rPr>
          <w:b w:val="0"/>
          <w:bCs w:val="0"/>
          <w:sz w:val="28"/>
          <w:szCs w:val="28"/>
          <w:highlight w:val="none"/>
        </w:rPr>
        <w:t xml:space="preserve">, концепция вещания: «свободная»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</w:p>
    <w:p>
      <w:p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55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01.0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9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.202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Получатель: Межрегиональное операционное УФК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Роскомнадзор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л/с 05951000960)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ИНН 7705846236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КПП 770501001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БИК 024501901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единого казначейского счета  40102810045370000002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казначейского счета 03212643000000019502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ОБРАЩАЕМ ВНИМАНИЕ!!!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заполнении платежного поручения обязательно заполнять дополнительный код в поле 22 - 0006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5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7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представляет организатору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 рабочих дней со дня перечисления денежных средств.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8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</w:t>
      </w:r>
      <w:r>
        <w:rPr>
          <w:bCs/>
          <w:sz w:val="28"/>
          <w:szCs w:val="28"/>
          <w:lang w:val="ru-RU" w:eastAsia="ru-RU"/>
        </w:rPr>
        <w:t xml:space="preserve">а</w:t>
      </w:r>
      <w:r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онкурсе, либо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онкурса.</w:t>
      </w:r>
      <w:r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48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>
        <w:rPr>
          <w:bCs/>
          <w:sz w:val="28"/>
          <w:szCs w:val="28"/>
          <w:lang w:val="ru-RU" w:eastAsia="ru-RU"/>
        </w:rPr>
        <w:br/>
      </w:r>
      <w:r>
        <w:rPr>
          <w:bCs/>
          <w:sz w:val="28"/>
          <w:szCs w:val="28"/>
          <w:lang w:val="ru-RU" w:eastAsia="ru-RU"/>
        </w:rPr>
        <w:t xml:space="preserve">по телерадиовещанию об итогах конкурса.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57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Итоги конкурса аннулируются 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случаях, установленных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пунктом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рации от 26 января 2012 г. № 25: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5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/>
      <w:bookmarkStart w:id="1" w:name="Par123"/>
      <w:r/>
      <w:bookmarkEnd w:id="1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anchor="Par140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случае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неперечисления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anchor="Par123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подпункте 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«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а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»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пункта 23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Российской Федерации от 26 января 2012 г. № 25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аннулировании итогов конкурса победитель конкурса утрачивает внесенный им конкурсный взнос.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5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8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Справки по телефонам: </w:t>
      </w:r>
      <w:r>
        <w:rPr>
          <w:b/>
          <w:sz w:val="28"/>
          <w:szCs w:val="28"/>
          <w:u w:val="single"/>
        </w:rPr>
        <w:t xml:space="preserve">(495) 587-40-66; (495) 587-40-81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1134" w:right="1134" w:bottom="56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2">
    <w:multiLevelType w:val="hybridMultilevel"/>
    <w:lvl w:ilvl="0">
      <w:start w:val="1"/>
      <w:numFmt w:val="upperRoman"/>
      <w:pStyle w:val="933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934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pStyle w:val="935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936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937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938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939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940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941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  <w:num w:numId="61">
    <w:abstractNumId w:val="59"/>
  </w:num>
  <w:num w:numId="62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Heading 1 Char"/>
    <w:basedOn w:val="942"/>
    <w:link w:val="933"/>
    <w:uiPriority w:val="9"/>
    <w:rPr>
      <w:rFonts w:ascii="Arial" w:hAnsi="Arial" w:eastAsia="Arial" w:cs="Arial"/>
      <w:sz w:val="40"/>
      <w:szCs w:val="40"/>
    </w:rPr>
  </w:style>
  <w:style w:type="character" w:styleId="768">
    <w:name w:val="Heading 2 Char"/>
    <w:basedOn w:val="942"/>
    <w:link w:val="934"/>
    <w:uiPriority w:val="9"/>
    <w:rPr>
      <w:rFonts w:ascii="Arial" w:hAnsi="Arial" w:eastAsia="Arial" w:cs="Arial"/>
      <w:sz w:val="34"/>
    </w:rPr>
  </w:style>
  <w:style w:type="character" w:styleId="769">
    <w:name w:val="Heading 3 Char"/>
    <w:basedOn w:val="942"/>
    <w:link w:val="935"/>
    <w:uiPriority w:val="9"/>
    <w:rPr>
      <w:rFonts w:ascii="Arial" w:hAnsi="Arial" w:eastAsia="Arial" w:cs="Arial"/>
      <w:sz w:val="30"/>
      <w:szCs w:val="30"/>
    </w:rPr>
  </w:style>
  <w:style w:type="character" w:styleId="770">
    <w:name w:val="Heading 4 Char"/>
    <w:basedOn w:val="942"/>
    <w:link w:val="936"/>
    <w:uiPriority w:val="9"/>
    <w:rPr>
      <w:rFonts w:ascii="Arial" w:hAnsi="Arial" w:eastAsia="Arial" w:cs="Arial"/>
      <w:b/>
      <w:bCs/>
      <w:sz w:val="26"/>
      <w:szCs w:val="26"/>
    </w:rPr>
  </w:style>
  <w:style w:type="character" w:styleId="771">
    <w:name w:val="Heading 5 Char"/>
    <w:basedOn w:val="942"/>
    <w:link w:val="937"/>
    <w:uiPriority w:val="9"/>
    <w:rPr>
      <w:rFonts w:ascii="Arial" w:hAnsi="Arial" w:eastAsia="Arial" w:cs="Arial"/>
      <w:b/>
      <w:bCs/>
      <w:sz w:val="24"/>
      <w:szCs w:val="24"/>
    </w:rPr>
  </w:style>
  <w:style w:type="character" w:styleId="772">
    <w:name w:val="Heading 6 Char"/>
    <w:basedOn w:val="942"/>
    <w:link w:val="938"/>
    <w:uiPriority w:val="9"/>
    <w:rPr>
      <w:rFonts w:ascii="Arial" w:hAnsi="Arial" w:eastAsia="Arial" w:cs="Arial"/>
      <w:b/>
      <w:bCs/>
      <w:sz w:val="22"/>
      <w:szCs w:val="22"/>
    </w:rPr>
  </w:style>
  <w:style w:type="character" w:styleId="773">
    <w:name w:val="Heading 7 Char"/>
    <w:basedOn w:val="942"/>
    <w:link w:val="9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8 Char"/>
    <w:basedOn w:val="942"/>
    <w:link w:val="940"/>
    <w:uiPriority w:val="9"/>
    <w:rPr>
      <w:rFonts w:ascii="Arial" w:hAnsi="Arial" w:eastAsia="Arial" w:cs="Arial"/>
      <w:i/>
      <w:iCs/>
      <w:sz w:val="22"/>
      <w:szCs w:val="22"/>
    </w:rPr>
  </w:style>
  <w:style w:type="character" w:styleId="775">
    <w:name w:val="Heading 9 Char"/>
    <w:basedOn w:val="942"/>
    <w:link w:val="941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  <w:pPr>
      <w:spacing w:before="0" w:after="0" w:line="240" w:lineRule="auto"/>
    </w:pPr>
  </w:style>
  <w:style w:type="character" w:styleId="777">
    <w:name w:val="Title Char"/>
    <w:basedOn w:val="942"/>
    <w:link w:val="945"/>
    <w:uiPriority w:val="10"/>
    <w:rPr>
      <w:sz w:val="48"/>
      <w:szCs w:val="48"/>
    </w:rPr>
  </w:style>
  <w:style w:type="paragraph" w:styleId="778">
    <w:name w:val="Subtitle"/>
    <w:basedOn w:val="932"/>
    <w:next w:val="932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>
    <w:name w:val="Subtitle Char"/>
    <w:basedOn w:val="942"/>
    <w:link w:val="778"/>
    <w:uiPriority w:val="11"/>
    <w:rPr>
      <w:sz w:val="24"/>
      <w:szCs w:val="24"/>
    </w:rPr>
  </w:style>
  <w:style w:type="paragraph" w:styleId="780">
    <w:name w:val="Quote"/>
    <w:basedOn w:val="932"/>
    <w:next w:val="932"/>
    <w:link w:val="781"/>
    <w:uiPriority w:val="29"/>
    <w:qFormat/>
    <w:pPr>
      <w:ind w:left="720" w:right="720"/>
    </w:pPr>
    <w:rPr>
      <w:i/>
    </w:rPr>
  </w:style>
  <w:style w:type="character" w:styleId="781">
    <w:name w:val="Quote Char"/>
    <w:link w:val="780"/>
    <w:uiPriority w:val="29"/>
    <w:rPr>
      <w:i/>
    </w:rPr>
  </w:style>
  <w:style w:type="paragraph" w:styleId="782">
    <w:name w:val="Intense Quote"/>
    <w:basedOn w:val="932"/>
    <w:next w:val="932"/>
    <w:link w:val="7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>
    <w:name w:val="Intense Quote Char"/>
    <w:link w:val="782"/>
    <w:uiPriority w:val="30"/>
    <w:rPr>
      <w:i/>
    </w:rPr>
  </w:style>
  <w:style w:type="paragraph" w:styleId="784">
    <w:name w:val="Header"/>
    <w:basedOn w:val="932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5">
    <w:name w:val="Header Char"/>
    <w:basedOn w:val="942"/>
    <w:link w:val="784"/>
    <w:uiPriority w:val="99"/>
  </w:style>
  <w:style w:type="paragraph" w:styleId="786">
    <w:name w:val="Footer"/>
    <w:basedOn w:val="932"/>
    <w:link w:val="7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7">
    <w:name w:val="Footer Char"/>
    <w:basedOn w:val="942"/>
    <w:link w:val="786"/>
    <w:uiPriority w:val="99"/>
  </w:style>
  <w:style w:type="paragraph" w:styleId="788">
    <w:name w:val="Caption"/>
    <w:basedOn w:val="932"/>
    <w:next w:val="932"/>
    <w:link w:val="7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942"/>
    <w:link w:val="788"/>
    <w:uiPriority w:val="35"/>
    <w:rPr>
      <w:b/>
      <w:bCs/>
      <w:color w:val="4f81bd" w:themeColor="accent1"/>
      <w:sz w:val="18"/>
      <w:szCs w:val="18"/>
    </w:rPr>
  </w:style>
  <w:style w:type="table" w:styleId="790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basedOn w:val="942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basedOn w:val="942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qFormat/>
  </w:style>
  <w:style w:type="paragraph" w:styleId="933">
    <w:name w:val="Heading 1"/>
    <w:basedOn w:val="932"/>
    <w:next w:val="932"/>
    <w:qFormat/>
    <w:pPr>
      <w:numPr>
        <w:ilvl w:val="0"/>
        <w:numId w:val="22"/>
      </w:numPr>
      <w:jc w:val="center"/>
      <w:keepNext/>
      <w:outlineLvl w:val="0"/>
    </w:pPr>
    <w:rPr>
      <w:sz w:val="24"/>
    </w:rPr>
  </w:style>
  <w:style w:type="paragraph" w:styleId="934">
    <w:name w:val="Heading 2"/>
    <w:basedOn w:val="932"/>
    <w:next w:val="932"/>
    <w:qFormat/>
    <w:pPr>
      <w:numPr>
        <w:ilvl w:val="1"/>
        <w:numId w:val="22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35">
    <w:name w:val="Heading 3"/>
    <w:basedOn w:val="932"/>
    <w:next w:val="932"/>
    <w:qFormat/>
    <w:pPr>
      <w:numPr>
        <w:ilvl w:val="2"/>
        <w:numId w:val="22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36">
    <w:name w:val="Heading 4"/>
    <w:basedOn w:val="932"/>
    <w:next w:val="932"/>
    <w:qFormat/>
    <w:pPr>
      <w:numPr>
        <w:ilvl w:val="3"/>
        <w:numId w:val="22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937">
    <w:name w:val="Heading 5"/>
    <w:basedOn w:val="932"/>
    <w:next w:val="932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38">
    <w:name w:val="Heading 6"/>
    <w:basedOn w:val="932"/>
    <w:next w:val="932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939">
    <w:name w:val="Heading 7"/>
    <w:basedOn w:val="932"/>
    <w:next w:val="932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940">
    <w:name w:val="Heading 8"/>
    <w:basedOn w:val="932"/>
    <w:next w:val="932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41">
    <w:name w:val="Heading 9"/>
    <w:basedOn w:val="932"/>
    <w:next w:val="932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42" w:default="1">
    <w:name w:val="Default Paragraph Font"/>
    <w:uiPriority w:val="1"/>
    <w:semiHidden/>
    <w:unhideWhenUsed/>
  </w:style>
  <w:style w:type="table" w:styleId="9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paragraph" w:styleId="945">
    <w:name w:val="Title"/>
    <w:basedOn w:val="932"/>
    <w:qFormat/>
    <w:pPr>
      <w:jc w:val="center"/>
      <w:spacing w:line="240" w:lineRule="atLeast"/>
    </w:pPr>
    <w:rPr>
      <w:b/>
      <w:sz w:val="24"/>
    </w:rPr>
  </w:style>
  <w:style w:type="paragraph" w:styleId="946">
    <w:name w:val="Body Text Indent 2"/>
    <w:basedOn w:val="932"/>
    <w:link w:val="953"/>
    <w:pPr>
      <w:ind w:firstLine="740"/>
      <w:jc w:val="both"/>
      <w:spacing w:line="240" w:lineRule="atLeast"/>
    </w:pPr>
    <w:rPr>
      <w:sz w:val="24"/>
    </w:rPr>
  </w:style>
  <w:style w:type="paragraph" w:styleId="947">
    <w:name w:val="Body Text Indent 3"/>
    <w:basedOn w:val="932"/>
    <w:pPr>
      <w:ind w:firstLine="700"/>
      <w:jc w:val="both"/>
      <w:spacing w:line="280" w:lineRule="atLeast"/>
    </w:pPr>
    <w:rPr>
      <w:sz w:val="24"/>
    </w:rPr>
  </w:style>
  <w:style w:type="paragraph" w:styleId="948">
    <w:name w:val="Body Text"/>
    <w:basedOn w:val="932"/>
    <w:link w:val="954"/>
    <w:pPr>
      <w:jc w:val="both"/>
    </w:pPr>
    <w:rPr>
      <w:sz w:val="24"/>
    </w:rPr>
  </w:style>
  <w:style w:type="paragraph" w:styleId="949">
    <w:name w:val="Body Text 2"/>
    <w:basedOn w:val="932"/>
    <w:pPr>
      <w:jc w:val="center"/>
      <w:spacing w:line="240" w:lineRule="atLeast"/>
    </w:pPr>
    <w:rPr>
      <w:b/>
    </w:rPr>
  </w:style>
  <w:style w:type="paragraph" w:styleId="950">
    <w:name w:val="Body Text Indent"/>
    <w:basedOn w:val="932"/>
    <w:pPr>
      <w:ind w:firstLine="567"/>
      <w:jc w:val="both"/>
    </w:pPr>
    <w:rPr>
      <w:sz w:val="28"/>
    </w:rPr>
  </w:style>
  <w:style w:type="paragraph" w:styleId="951">
    <w:name w:val="Balloon Text"/>
    <w:basedOn w:val="932"/>
    <w:semiHidden/>
    <w:rPr>
      <w:rFonts w:ascii="Tahoma" w:hAnsi="Tahoma" w:cs="Tahoma"/>
      <w:sz w:val="16"/>
      <w:szCs w:val="16"/>
    </w:rPr>
  </w:style>
  <w:style w:type="paragraph" w:styleId="952">
    <w:name w:val="Normal (Web)"/>
    <w:basedOn w:val="932"/>
    <w:pPr>
      <w:spacing w:before="100" w:beforeAutospacing="1" w:after="100" w:afterAutospacing="1"/>
    </w:pPr>
    <w:rPr>
      <w:sz w:val="24"/>
      <w:szCs w:val="24"/>
    </w:rPr>
  </w:style>
  <w:style w:type="character" w:styleId="953" w:customStyle="1">
    <w:name w:val="Основной текст с отступом 2 Знак"/>
    <w:link w:val="946"/>
    <w:rPr>
      <w:sz w:val="24"/>
    </w:rPr>
  </w:style>
  <w:style w:type="character" w:styleId="954" w:customStyle="1">
    <w:name w:val="Основной текст Знак"/>
    <w:link w:val="948"/>
    <w:rPr>
      <w:sz w:val="24"/>
    </w:rPr>
  </w:style>
  <w:style w:type="paragraph" w:styleId="955" w:customStyle="1">
    <w:name w:val="Default"/>
    <w:rPr>
      <w:rFonts w:ascii="Calibri" w:hAnsi="Calibri" w:cs="Calibri"/>
      <w:color w:val="000000"/>
      <w:sz w:val="24"/>
      <w:szCs w:val="24"/>
    </w:rPr>
  </w:style>
  <w:style w:type="paragraph" w:styleId="956" w:customStyle="1">
    <w:name w:val="ConsPlusNormal"/>
    <w:pPr>
      <w:widowControl w:val="off"/>
    </w:pPr>
    <w:rPr>
      <w:rFonts w:ascii="Arial" w:hAnsi="Arial" w:cs="Arial" w:eastAsiaTheme="minorEastAsia"/>
    </w:rPr>
  </w:style>
  <w:style w:type="paragraph" w:styleId="957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16"/>
      <w:szCs w:val="16"/>
    </w:rPr>
  </w:style>
  <w:style w:type="table" w:styleId="958">
    <w:name w:val="Table Grid"/>
    <w:basedOn w:val="94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59">
    <w:name w:val="List Paragraph"/>
    <w:basedOn w:val="932"/>
    <w:uiPriority w:val="34"/>
    <w:qFormat/>
    <w:pPr>
      <w:contextualSpacing/>
      <w:ind w:left="720"/>
    </w:pPr>
  </w:style>
  <w:style w:type="character" w:styleId="960">
    <w:name w:val="Hyperlink"/>
    <w:uiPriority w:val="99"/>
    <w:unhideWhenUsed/>
    <w:rPr>
      <w:color w:val="0000ff"/>
      <w:u w:val="single"/>
    </w:rPr>
  </w:style>
  <w:style w:type="table" w:styleId="961" w:customStyle="1">
    <w:name w:val="Сетка таблицы1"/>
    <w:basedOn w:val="943"/>
    <w:next w:val="95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93369.125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A714-E0FD-45E7-B90F-86AB7A0D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mol-364@JSRK.RU</cp:lastModifiedBy>
  <cp:revision>10</cp:revision>
  <dcterms:created xsi:type="dcterms:W3CDTF">2025-06-25T12:24:00Z</dcterms:created>
  <dcterms:modified xsi:type="dcterms:W3CDTF">2026-01-28T13:45:40Z</dcterms:modified>
</cp:coreProperties>
</file>