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b/>
          <w:bCs/>
          <w:sz w:val="28"/>
          <w:szCs w:val="28"/>
        </w:rPr>
      </w:pPr>
      <w:r/>
      <w:bookmarkStart w:id="0" w:name="_GoBack"/>
      <w:r/>
      <w:bookmarkEnd w:id="0"/>
      <w:r>
        <w:rPr>
          <w:b/>
          <w:bCs/>
          <w:sz w:val="28"/>
          <w:szCs w:val="28"/>
        </w:rPr>
        <w:t xml:space="preserve">СООБЩЕНИЕ ФЕДЕРАЛЬНОЙ СЛУЖБЫ ПО НАДЗОРУ </w:t>
      </w:r>
      <w:r>
        <w:rPr>
          <w:b/>
          <w:bCs/>
          <w:sz w:val="28"/>
          <w:szCs w:val="28"/>
        </w:rPr>
        <w:br/>
        <w:t xml:space="preserve">В СФЕРЕ СВЯЗИ, ИНФОРМАЦИОННЫХ ТЕХНОЛОГИЙ </w:t>
      </w:r>
      <w:r>
        <w:rPr>
          <w:b/>
          <w:bCs/>
          <w:sz w:val="28"/>
          <w:szCs w:val="28"/>
        </w:rPr>
        <w:br/>
        <w:t xml:space="preserve">И МАССОВЫХ КОММУНИКАЦИЙ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945"/>
        <w:numPr>
          <w:ilvl w:val="0"/>
          <w:numId w:val="0"/>
        </w:numPr>
        <w:jc w:val="center"/>
        <w:rPr>
          <w:rFonts w:ascii="Times New Roman" w:hAnsi="Times New Roman" w:cs="Times New Roman"/>
          <w:bCs w:val="0"/>
          <w:sz w:val="28"/>
          <w:szCs w:val="20"/>
        </w:rPr>
      </w:pPr>
      <w:r>
        <w:rPr>
          <w:rFonts w:ascii="Times New Roman" w:hAnsi="Times New Roman" w:cs="Times New Roman"/>
          <w:bCs w:val="0"/>
          <w:sz w:val="28"/>
          <w:szCs w:val="20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«</w:t>
      </w:r>
      <w:r>
        <w:rPr>
          <w:rFonts w:ascii="Times New Roman" w:hAnsi="Times New Roman" w:cs="Times New Roman"/>
          <w:bCs w:val="0"/>
          <w:sz w:val="28"/>
          <w:szCs w:val="20"/>
        </w:rPr>
        <w:t xml:space="preserve">О </w:t>
      </w:r>
      <w:r>
        <w:rPr>
          <w:rFonts w:ascii="Times New Roman" w:hAnsi="Times New Roman" w:cs="Times New Roman"/>
          <w:bCs w:val="0"/>
          <w:sz w:val="28"/>
          <w:szCs w:val="20"/>
        </w:rPr>
        <w:t xml:space="preserve">результатах</w:t>
      </w:r>
      <w:r>
        <w:rPr>
          <w:rFonts w:ascii="Times New Roman" w:hAnsi="Times New Roman" w:cs="Times New Roman"/>
          <w:bCs w:val="0"/>
          <w:sz w:val="28"/>
          <w:szCs w:val="20"/>
        </w:rPr>
        <w:t xml:space="preserve"> конкурсов на получение права осуществлять наземное эфирное вещание с использованием конкретных радиочастот </w:t>
      </w:r>
      <w:r>
        <w:rPr>
          <w:rFonts w:ascii="Times New Roman" w:hAnsi="Times New Roman" w:cs="Times New Roman"/>
          <w:bCs w:val="0"/>
          <w:sz w:val="28"/>
          <w:szCs w:val="20"/>
        </w:rPr>
        <w:br/>
        <w:t xml:space="preserve">от </w:t>
      </w:r>
      <w:r>
        <w:rPr>
          <w:rFonts w:ascii="Times New Roman" w:hAnsi="Times New Roman" w:cs="Times New Roman"/>
          <w:bCs w:val="0"/>
          <w:sz w:val="28"/>
          <w:szCs w:val="20"/>
        </w:rPr>
        <w:t xml:space="preserve">25</w:t>
      </w:r>
      <w:r>
        <w:rPr>
          <w:rFonts w:ascii="Times New Roman" w:hAnsi="Times New Roman" w:cs="Times New Roman"/>
          <w:bCs w:val="0"/>
          <w:sz w:val="28"/>
          <w:szCs w:val="20"/>
        </w:rPr>
        <w:t xml:space="preserve"> февраля</w:t>
      </w:r>
      <w:r>
        <w:rPr>
          <w:rFonts w:ascii="Times New Roman" w:hAnsi="Times New Roman" w:cs="Times New Roman"/>
          <w:bCs w:val="0"/>
          <w:sz w:val="28"/>
          <w:szCs w:val="20"/>
        </w:rPr>
        <w:t xml:space="preserve"> </w:t>
      </w:r>
      <w:r>
        <w:rPr>
          <w:rFonts w:ascii="Times New Roman" w:hAnsi="Times New Roman" w:cs="Times New Roman"/>
          <w:bCs w:val="0"/>
          <w:sz w:val="28"/>
          <w:szCs w:val="20"/>
        </w:rPr>
        <w:t xml:space="preserve">20</w:t>
      </w:r>
      <w:r>
        <w:rPr>
          <w:rFonts w:ascii="Times New Roman" w:hAnsi="Times New Roman" w:cs="Times New Roman"/>
          <w:bCs w:val="0"/>
          <w:sz w:val="28"/>
          <w:szCs w:val="20"/>
        </w:rPr>
        <w:t xml:space="preserve">26</w:t>
      </w:r>
      <w:r>
        <w:rPr>
          <w:rFonts w:ascii="Times New Roman" w:hAnsi="Times New Roman" w:cs="Times New Roman"/>
          <w:bCs w:val="0"/>
          <w:sz w:val="28"/>
          <w:szCs w:val="20"/>
        </w:rPr>
        <w:t xml:space="preserve"> </w:t>
      </w:r>
      <w:r>
        <w:rPr>
          <w:rFonts w:ascii="Times New Roman" w:hAnsi="Times New Roman" w:cs="Times New Roman"/>
          <w:bCs w:val="0"/>
          <w:sz w:val="28"/>
          <w:szCs w:val="20"/>
        </w:rPr>
        <w:t xml:space="preserve">года</w:t>
      </w:r>
      <w:r>
        <w:rPr>
          <w:rFonts w:ascii="Times New Roman" w:hAnsi="Times New Roman" w:cs="Times New Roman"/>
          <w:sz w:val="28"/>
          <w:szCs w:val="28"/>
        </w:rPr>
        <w:t xml:space="preserve">»</w:t>
      </w:r>
      <w:r>
        <w:rPr>
          <w:rFonts w:ascii="Times New Roman" w:hAnsi="Times New Roman" w:cs="Times New Roman"/>
          <w:bCs w:val="0"/>
          <w:sz w:val="28"/>
          <w:szCs w:val="20"/>
        </w:rPr>
        <w:t xml:space="preserve"> </w:t>
      </w:r>
      <w:r>
        <w:rPr>
          <w:rFonts w:ascii="Times New Roman" w:hAnsi="Times New Roman" w:cs="Times New Roman"/>
          <w:bCs w:val="0"/>
          <w:sz w:val="28"/>
          <w:szCs w:val="20"/>
        </w:rPr>
      </w:r>
      <w:r>
        <w:rPr>
          <w:rFonts w:ascii="Times New Roman" w:hAnsi="Times New Roman" w:cs="Times New Roman"/>
          <w:bCs w:val="0"/>
          <w:sz w:val="28"/>
          <w:szCs w:val="20"/>
        </w:rPr>
      </w:r>
    </w:p>
    <w:p>
      <w:pPr>
        <w:ind w:firstLine="697"/>
        <w:jc w:val="both"/>
        <w:rPr>
          <w:sz w:val="28"/>
          <w:szCs w:val="28"/>
        </w:rPr>
      </w:pPr>
      <w:r>
        <w:rPr>
          <w:bCs/>
          <w:sz w:val="28"/>
          <w:szCs w:val="28"/>
          <w:highlight w:val="none"/>
        </w:rPr>
      </w:r>
      <w:r>
        <w:rPr>
          <w:bCs/>
          <w:sz w:val="28"/>
          <w:szCs w:val="28"/>
          <w:highlight w:val="none"/>
        </w:rPr>
      </w:r>
    </w:p>
    <w:p>
      <w:pPr>
        <w:ind w:firstLine="697"/>
        <w:jc w:val="both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Федеральная служба по надзору в сфере связи, информационных технологий и массовых коммуникаций в соответствии </w:t>
      </w:r>
      <w:r>
        <w:rPr>
          <w:sz w:val="28"/>
          <w:szCs w:val="28"/>
        </w:rPr>
        <w:t xml:space="preserve">с </w:t>
      </w:r>
      <w:hyperlink r:id="rId10" w:tooltip="garantF1://93369.125221" w:history="1">
        <w:r>
          <w:rPr>
            <w:sz w:val="28"/>
            <w:szCs w:val="28"/>
          </w:rPr>
          <w:t xml:space="preserve">пунктами </w:t>
        </w:r>
        <w:r>
          <w:rPr>
            <w:sz w:val="28"/>
            <w:szCs w:val="28"/>
          </w:rPr>
          <w:br/>
        </w:r>
        <w:r>
          <w:rPr>
            <w:sz w:val="28"/>
            <w:szCs w:val="28"/>
          </w:rPr>
          <w:t xml:space="preserve">5.3</w:t>
        </w:r>
        <w:r>
          <w:rPr>
            <w:sz w:val="28"/>
            <w:szCs w:val="28"/>
            <w:vertAlign w:val="superscript"/>
          </w:rPr>
          <w:t xml:space="preserve">1</w:t>
        </w:r>
        <w:r>
          <w:rPr>
            <w:sz w:val="28"/>
            <w:szCs w:val="28"/>
          </w:rPr>
          <w:t xml:space="preserve"> и 5.3</w:t>
        </w:r>
        <w:r>
          <w:rPr>
            <w:sz w:val="28"/>
            <w:szCs w:val="28"/>
            <w:vertAlign w:val="superscript"/>
          </w:rPr>
          <w:t xml:space="preserve">2</w:t>
        </w:r>
        <w:r>
          <w:rPr>
            <w:sz w:val="28"/>
            <w:szCs w:val="28"/>
          </w:rPr>
          <w:t xml:space="preserve"> </w:t>
        </w:r>
      </w:hyperlink>
      <w:r>
        <w:rPr>
          <w:sz w:val="28"/>
          <w:szCs w:val="28"/>
        </w:rPr>
        <w:t xml:space="preserve">Положения о Федеральной службе по надзору в сфере связи, информационных технологий и массовых коммуникаций, утвержденного постановлением Правительства Российской Федерации от 16 марта 2009 г. № 228,</w:t>
      </w:r>
      <w:r>
        <w:rPr>
          <w:sz w:val="28"/>
          <w:szCs w:val="28"/>
        </w:rPr>
        <w:t xml:space="preserve"> и</w:t>
      </w:r>
      <w:r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постановлением Правительства Российской Федерации </w:t>
      </w:r>
      <w:r>
        <w:rPr>
          <w:bCs/>
          <w:sz w:val="28"/>
          <w:szCs w:val="28"/>
        </w:rPr>
        <w:br/>
      </w:r>
      <w:r>
        <w:rPr>
          <w:bCs/>
          <w:sz w:val="28"/>
          <w:szCs w:val="28"/>
        </w:rPr>
        <w:t xml:space="preserve">от 26 января 2012 г. № 25 </w:t>
      </w:r>
      <w:r>
        <w:rPr>
          <w:sz w:val="28"/>
          <w:szCs w:val="28"/>
        </w:rPr>
        <w:t xml:space="preserve">«</w:t>
      </w:r>
      <w:r>
        <w:rPr>
          <w:bCs/>
          <w:sz w:val="28"/>
          <w:szCs w:val="28"/>
        </w:rPr>
        <w:t xml:space="preserve">О выделении конкретных радиочастот </w:t>
      </w:r>
      <w:r>
        <w:rPr>
          <w:bCs/>
          <w:sz w:val="28"/>
          <w:szCs w:val="28"/>
        </w:rPr>
        <w:br/>
      </w:r>
      <w:r>
        <w:rPr>
          <w:bCs/>
          <w:sz w:val="28"/>
          <w:szCs w:val="28"/>
        </w:rPr>
        <w:t xml:space="preserve">для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вещания с использованием ограниченного радиочастотного ресурса (наземного эфирного вещания, спутникового вещания)</w:t>
      </w:r>
      <w:r>
        <w:rPr>
          <w:bCs/>
          <w:sz w:val="28"/>
          <w:szCs w:val="28"/>
        </w:rPr>
        <w:t xml:space="preserve">,</w:t>
      </w:r>
      <w:r>
        <w:rPr>
          <w:bCs/>
          <w:sz w:val="28"/>
          <w:szCs w:val="28"/>
        </w:rPr>
        <w:t xml:space="preserve"> проведении конкурса, взимании единовременной платы за право осуществлять наземное эфирное вещание, спутниковое вещание с использованием конкретных радиочастот и признании утратившими силу некоторых актов Правительства Российской Федерации</w:t>
      </w:r>
      <w:r>
        <w:rPr>
          <w:bCs/>
          <w:sz w:val="28"/>
          <w:szCs w:val="28"/>
        </w:rPr>
        <w:t xml:space="preserve">»</w:t>
      </w:r>
      <w:r>
        <w:rPr>
          <w:bCs/>
          <w:sz w:val="28"/>
          <w:szCs w:val="28"/>
        </w:rPr>
        <w:t xml:space="preserve">,</w:t>
      </w:r>
      <w:r>
        <w:rPr>
          <w:bCs/>
          <w:sz w:val="28"/>
          <w:szCs w:val="28"/>
        </w:rPr>
        <w:t xml:space="preserve"> сообщает следующее.</w:t>
      </w:r>
      <w:r>
        <w:rPr>
          <w:bCs/>
          <w:sz w:val="28"/>
          <w:szCs w:val="28"/>
        </w:rPr>
      </w:r>
      <w:r>
        <w:rPr>
          <w:sz w:val="28"/>
          <w:szCs w:val="28"/>
          <w:highlight w:val="none"/>
        </w:rPr>
      </w:r>
    </w:p>
    <w:p>
      <w:pPr>
        <w:ind w:firstLine="697"/>
        <w:jc w:val="both"/>
        <w:spacing w:line="260" w:lineRule="atLeast"/>
        <w:rPr>
          <w:sz w:val="28"/>
          <w:szCs w:val="28"/>
        </w:rPr>
      </w:pPr>
      <w:r>
        <w:rPr>
          <w:sz w:val="28"/>
          <w:szCs w:val="28"/>
        </w:rPr>
        <w:t xml:space="preserve">25</w:t>
      </w:r>
      <w:r>
        <w:rPr>
          <w:sz w:val="28"/>
          <w:szCs w:val="28"/>
        </w:rPr>
        <w:t xml:space="preserve"> февраля</w:t>
      </w:r>
      <w:r>
        <w:rPr>
          <w:sz w:val="28"/>
          <w:szCs w:val="28"/>
        </w:rPr>
        <w:t xml:space="preserve"> 20</w:t>
      </w:r>
      <w:r>
        <w:rPr>
          <w:sz w:val="28"/>
          <w:szCs w:val="28"/>
        </w:rPr>
        <w:t xml:space="preserve">2</w:t>
      </w:r>
      <w:r>
        <w:rPr>
          <w:sz w:val="28"/>
          <w:szCs w:val="28"/>
        </w:rPr>
        <w:t xml:space="preserve">6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года</w:t>
      </w:r>
      <w:r>
        <w:rPr>
          <w:sz w:val="28"/>
          <w:szCs w:val="28"/>
        </w:rPr>
        <w:t xml:space="preserve"> состоялось заседание Федеральной конкурсной комиссии по телерадиовещанию.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line="240" w:lineRule="atLeast"/>
        <w:rPr>
          <w:sz w:val="28"/>
          <w:szCs w:val="28"/>
        </w:rPr>
      </w:pPr>
      <w:r>
        <w:rPr>
          <w:sz w:val="28"/>
          <w:szCs w:val="28"/>
        </w:rPr>
        <w:t xml:space="preserve">В результате </w:t>
      </w:r>
      <w:r>
        <w:rPr>
          <w:bCs/>
          <w:sz w:val="28"/>
          <w:szCs w:val="28"/>
        </w:rPr>
        <w:t xml:space="preserve">проведения конкурс</w:t>
      </w:r>
      <w:r>
        <w:rPr>
          <w:bCs/>
          <w:sz w:val="28"/>
          <w:szCs w:val="28"/>
        </w:rPr>
        <w:t xml:space="preserve">ов</w:t>
      </w:r>
      <w:r>
        <w:rPr>
          <w:bCs/>
          <w:sz w:val="28"/>
          <w:szCs w:val="28"/>
        </w:rPr>
        <w:t xml:space="preserve"> на получение права осуществлять наземное эфирное вещание с использованием конкретных радиочастот (далее </w:t>
      </w:r>
      <w:r>
        <w:rPr>
          <w:bCs/>
          <w:sz w:val="28"/>
          <w:szCs w:val="28"/>
        </w:rPr>
        <w:t xml:space="preserve">–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К</w:t>
      </w:r>
      <w:r>
        <w:rPr>
          <w:bCs/>
          <w:sz w:val="28"/>
          <w:szCs w:val="28"/>
        </w:rPr>
        <w:t xml:space="preserve">онкурс)</w:t>
      </w:r>
      <w:r>
        <w:rPr>
          <w:sz w:val="28"/>
          <w:szCs w:val="28"/>
        </w:rPr>
        <w:t xml:space="preserve"> победителями признаны: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line="240" w:lineRule="atLeas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69"/>
        <w:numPr>
          <w:ilvl w:val="0"/>
          <w:numId w:val="37"/>
        </w:numPr>
        <w:jc w:val="both"/>
        <w:tabs>
          <w:tab w:val="clear" w:pos="720" w:leader="none"/>
        </w:tabs>
        <w:rPr>
          <w:b w:val="0"/>
          <w:bCs w:val="0"/>
          <w:sz w:val="28"/>
          <w:szCs w:val="28"/>
          <w:highlight w:val="white"/>
          <w14:ligatures w14:val="none"/>
        </w:rPr>
      </w:pPr>
      <w:r>
        <w:rPr>
          <w:b w:val="0"/>
          <w:bCs w:val="0"/>
          <w:sz w:val="28"/>
          <w:szCs w:val="28"/>
          <w:highlight w:val="white"/>
        </w:rPr>
      </w:r>
      <w:r>
        <w:rPr>
          <w:b w:val="0"/>
          <w:bCs w:val="0"/>
          <w:sz w:val="28"/>
          <w:szCs w:val="28"/>
          <w:highlight w:val="white"/>
        </w:rPr>
        <w:t xml:space="preserve">МИА «РОССИЯ СЕГОДНЯ»</w:t>
      </w:r>
      <w:r>
        <w:rPr>
          <w:b w:val="0"/>
          <w:bCs w:val="0"/>
          <w:sz w:val="28"/>
          <w:szCs w:val="28"/>
          <w:highlight w:val="white"/>
        </w:rPr>
        <w:t xml:space="preserve"> </w:t>
      </w:r>
      <w:r>
        <w:rPr>
          <w:b w:val="0"/>
          <w:bCs w:val="0"/>
          <w:sz w:val="28"/>
          <w:szCs w:val="28"/>
          <w:highlight w:val="white"/>
        </w:rPr>
        <w:t xml:space="preserve">– </w:t>
      </w:r>
      <w:r>
        <w:rPr>
          <w:b w:val="0"/>
          <w:bCs w:val="0"/>
          <w:sz w:val="28"/>
          <w:szCs w:val="28"/>
          <w:highlight w:val="white"/>
        </w:rPr>
        <w:t xml:space="preserve">г. Омск, </w:t>
      </w:r>
      <w:r>
        <w:rPr>
          <w:b w:val="0"/>
          <w:bCs w:val="0"/>
          <w:sz w:val="28"/>
          <w:szCs w:val="28"/>
          <w:highlight w:val="white"/>
        </w:rPr>
        <w:t xml:space="preserve">Омская область</w:t>
      </w:r>
      <w:r>
        <w:rPr>
          <w:b w:val="0"/>
          <w:bCs w:val="0"/>
          <w:sz w:val="28"/>
          <w:szCs w:val="28"/>
          <w:highlight w:val="white"/>
        </w:rPr>
        <w:t xml:space="preserve">,</w:t>
      </w:r>
      <w:r>
        <w:rPr>
          <w:b w:val="0"/>
          <w:bCs w:val="0"/>
          <w:sz w:val="28"/>
          <w:szCs w:val="28"/>
          <w:highlight w:val="white"/>
        </w:rPr>
        <w:t xml:space="preserve"> </w:t>
        <w:br/>
      </w:r>
      <w:r>
        <w:rPr>
          <w:b w:val="0"/>
          <w:bCs w:val="0"/>
          <w:sz w:val="28"/>
          <w:szCs w:val="28"/>
          <w:highlight w:val="white"/>
        </w:rPr>
        <w:t xml:space="preserve">98,5 МГц, </w:t>
      </w:r>
      <w:r>
        <w:rPr>
          <w:b w:val="0"/>
          <w:bCs w:val="0"/>
          <w:sz w:val="28"/>
          <w:szCs w:val="28"/>
          <w:highlight w:val="white"/>
        </w:rPr>
        <w:t xml:space="preserve">1 кВт</w:t>
      </w:r>
      <w:r>
        <w:rPr>
          <w:b w:val="0"/>
          <w:bCs w:val="0"/>
          <w:sz w:val="28"/>
          <w:szCs w:val="28"/>
          <w:highlight w:val="white"/>
        </w:rPr>
        <w:t xml:space="preserve">, концепция вещания: </w:t>
      </w:r>
      <w:r>
        <w:rPr>
          <w:b w:val="0"/>
          <w:bCs w:val="0"/>
          <w:sz w:val="28"/>
          <w:szCs w:val="28"/>
          <w:highlight w:val="white"/>
        </w:rPr>
        <w:t xml:space="preserve">«</w:t>
      </w:r>
      <w:r>
        <w:rPr>
          <w:b w:val="0"/>
          <w:bCs w:val="0"/>
          <w:sz w:val="28"/>
          <w:szCs w:val="28"/>
          <w:highlight w:val="white"/>
        </w:rPr>
        <w:t xml:space="preserve">свободная</w:t>
      </w:r>
      <w:r>
        <w:rPr>
          <w:b w:val="0"/>
          <w:bCs w:val="0"/>
          <w:sz w:val="28"/>
          <w:szCs w:val="28"/>
          <w:highlight w:val="white"/>
        </w:rPr>
        <w:t xml:space="preserve">»</w:t>
      </w:r>
      <w:r>
        <w:rPr>
          <w:b w:val="0"/>
          <w:bCs w:val="0"/>
          <w:sz w:val="28"/>
          <w:szCs w:val="28"/>
          <w:highlight w:val="white"/>
        </w:rPr>
        <w:t xml:space="preserve">;</w:t>
      </w:r>
      <w:r>
        <w:rPr>
          <w:b w:val="0"/>
          <w:bCs w:val="0"/>
          <w:sz w:val="28"/>
          <w:szCs w:val="28"/>
          <w:highlight w:val="white"/>
        </w:rPr>
      </w:r>
      <w:r>
        <w:rPr>
          <w:b w:val="0"/>
          <w:bCs w:val="0"/>
          <w:sz w:val="28"/>
          <w:szCs w:val="28"/>
          <w:highlight w:val="white"/>
        </w:rPr>
      </w:r>
    </w:p>
    <w:p>
      <w:pPr>
        <w:pStyle w:val="969"/>
        <w:numPr>
          <w:ilvl w:val="0"/>
          <w:numId w:val="37"/>
        </w:numPr>
        <w:jc w:val="both"/>
        <w:tabs>
          <w:tab w:val="clear" w:pos="720" w:leader="none"/>
        </w:tabs>
        <w:rPr>
          <w:b w:val="0"/>
          <w:bCs w:val="0"/>
          <w:sz w:val="28"/>
          <w:szCs w:val="28"/>
          <w:highlight w:val="white"/>
          <w14:ligatures w14:val="none"/>
        </w:rPr>
      </w:pPr>
      <w:r>
        <w:rPr>
          <w:b w:val="0"/>
          <w:bCs w:val="0"/>
          <w:sz w:val="28"/>
          <w:szCs w:val="28"/>
          <w:highlight w:val="white"/>
        </w:rPr>
      </w:r>
      <w:r>
        <w:rPr>
          <w:b w:val="0"/>
          <w:bCs w:val="0"/>
          <w:sz w:val="28"/>
          <w:szCs w:val="28"/>
          <w:highlight w:val="white"/>
        </w:rPr>
        <w:t xml:space="preserve">ООО «КОРПОРАЦИЯ «ОКНО»</w:t>
      </w:r>
      <w:r>
        <w:rPr>
          <w:b w:val="0"/>
          <w:bCs w:val="0"/>
          <w:sz w:val="28"/>
          <w:szCs w:val="28"/>
          <w:highlight w:val="white"/>
        </w:rPr>
        <w:t xml:space="preserve"> </w:t>
      </w:r>
      <w:r>
        <w:rPr>
          <w:b w:val="0"/>
          <w:bCs w:val="0"/>
          <w:sz w:val="28"/>
          <w:szCs w:val="28"/>
          <w:highlight w:val="white"/>
        </w:rPr>
        <w:t xml:space="preserve">– </w:t>
      </w:r>
      <w:r>
        <w:rPr>
          <w:b w:val="0"/>
          <w:bCs w:val="0"/>
          <w:sz w:val="28"/>
          <w:szCs w:val="28"/>
          <w:highlight w:val="white"/>
        </w:rPr>
        <w:t xml:space="preserve">г. Омск, </w:t>
      </w:r>
      <w:r>
        <w:rPr>
          <w:b w:val="0"/>
          <w:bCs w:val="0"/>
          <w:sz w:val="28"/>
          <w:szCs w:val="28"/>
          <w:highlight w:val="white"/>
        </w:rPr>
        <w:t xml:space="preserve">Омская область</w:t>
      </w:r>
      <w:r>
        <w:rPr>
          <w:b w:val="0"/>
          <w:bCs w:val="0"/>
          <w:sz w:val="28"/>
          <w:szCs w:val="28"/>
          <w:highlight w:val="white"/>
        </w:rPr>
        <w:t xml:space="preserve">,</w:t>
      </w:r>
      <w:r>
        <w:rPr>
          <w:b w:val="0"/>
          <w:bCs w:val="0"/>
          <w:sz w:val="28"/>
          <w:szCs w:val="28"/>
          <w:highlight w:val="white"/>
        </w:rPr>
        <w:t xml:space="preserve"> </w:t>
        <w:br/>
      </w:r>
      <w:r>
        <w:rPr>
          <w:b w:val="0"/>
          <w:bCs w:val="0"/>
          <w:sz w:val="28"/>
          <w:szCs w:val="28"/>
          <w:highlight w:val="white"/>
        </w:rPr>
        <w:t xml:space="preserve">9</w:t>
      </w:r>
      <w:r>
        <w:rPr>
          <w:b w:val="0"/>
          <w:bCs w:val="0"/>
          <w:sz w:val="28"/>
          <w:szCs w:val="28"/>
          <w:highlight w:val="white"/>
        </w:rPr>
        <w:t xml:space="preserve">9,7 МГц</w:t>
      </w:r>
      <w:r>
        <w:rPr>
          <w:b w:val="0"/>
          <w:bCs w:val="0"/>
          <w:sz w:val="28"/>
          <w:szCs w:val="28"/>
          <w:highlight w:val="white"/>
        </w:rPr>
        <w:t xml:space="preserve">, </w:t>
      </w:r>
      <w:r>
        <w:rPr>
          <w:b w:val="0"/>
          <w:bCs w:val="0"/>
          <w:sz w:val="28"/>
          <w:szCs w:val="28"/>
          <w:highlight w:val="white"/>
        </w:rPr>
        <w:t xml:space="preserve">1 кВт</w:t>
      </w:r>
      <w:r>
        <w:rPr>
          <w:b w:val="0"/>
          <w:bCs w:val="0"/>
          <w:sz w:val="28"/>
          <w:szCs w:val="28"/>
          <w:highlight w:val="white"/>
        </w:rPr>
        <w:t xml:space="preserve">, концепция вещания: </w:t>
      </w:r>
      <w:r>
        <w:rPr>
          <w:b w:val="0"/>
          <w:bCs w:val="0"/>
          <w:sz w:val="28"/>
          <w:szCs w:val="28"/>
          <w:highlight w:val="white"/>
        </w:rPr>
        <w:t xml:space="preserve">«</w:t>
      </w:r>
      <w:r>
        <w:rPr>
          <w:b w:val="0"/>
          <w:bCs w:val="0"/>
          <w:sz w:val="28"/>
          <w:szCs w:val="28"/>
          <w:highlight w:val="white"/>
        </w:rPr>
        <w:t xml:space="preserve">свободная</w:t>
      </w:r>
      <w:r>
        <w:rPr>
          <w:b w:val="0"/>
          <w:bCs w:val="0"/>
          <w:sz w:val="28"/>
          <w:szCs w:val="28"/>
          <w:highlight w:val="white"/>
        </w:rPr>
        <w:t xml:space="preserve">»</w:t>
      </w:r>
      <w:r>
        <w:rPr>
          <w:b w:val="0"/>
          <w:bCs w:val="0"/>
          <w:sz w:val="28"/>
          <w:szCs w:val="28"/>
          <w:highlight w:val="white"/>
        </w:rPr>
        <w:t xml:space="preserve">;</w:t>
      </w:r>
      <w:r>
        <w:rPr>
          <w:b w:val="0"/>
          <w:bCs w:val="0"/>
          <w:sz w:val="28"/>
          <w:szCs w:val="28"/>
          <w:highlight w:val="white"/>
        </w:rPr>
      </w:r>
      <w:r>
        <w:rPr>
          <w:b w:val="0"/>
          <w:bCs w:val="0"/>
          <w:sz w:val="28"/>
          <w:szCs w:val="28"/>
          <w:highlight w:val="white"/>
          <w14:ligatures w14:val="none"/>
        </w:rPr>
      </w:r>
    </w:p>
    <w:p>
      <w:pPr>
        <w:pStyle w:val="969"/>
        <w:numPr>
          <w:ilvl w:val="0"/>
          <w:numId w:val="37"/>
        </w:numPr>
        <w:jc w:val="both"/>
        <w:tabs>
          <w:tab w:val="clear" w:pos="720" w:leader="none"/>
        </w:tabs>
        <w:rPr>
          <w:b w:val="0"/>
          <w:bCs w:val="0"/>
          <w:sz w:val="28"/>
          <w:szCs w:val="28"/>
          <w:highlight w:val="white"/>
          <w14:ligatures w14:val="none"/>
        </w:rPr>
      </w:pPr>
      <w:r>
        <w:rPr>
          <w:b w:val="0"/>
          <w:bCs w:val="0"/>
          <w:sz w:val="28"/>
          <w:szCs w:val="28"/>
          <w:highlight w:val="white"/>
        </w:rPr>
      </w:r>
      <w:r>
        <w:rPr>
          <w:b w:val="0"/>
          <w:bCs w:val="0"/>
          <w:sz w:val="28"/>
          <w:szCs w:val="28"/>
          <w:highlight w:val="white"/>
        </w:rPr>
        <w:t xml:space="preserve">ООО «ХАМЕЛЕОН»</w:t>
      </w:r>
      <w:r>
        <w:rPr>
          <w:b w:val="0"/>
          <w:bCs w:val="0"/>
          <w:sz w:val="28"/>
          <w:szCs w:val="28"/>
          <w:highlight w:val="white"/>
        </w:rPr>
        <w:t xml:space="preserve"> </w:t>
      </w:r>
      <w:r>
        <w:rPr>
          <w:b w:val="0"/>
          <w:bCs w:val="0"/>
          <w:sz w:val="28"/>
          <w:szCs w:val="28"/>
          <w:highlight w:val="white"/>
        </w:rPr>
        <w:t xml:space="preserve">– </w:t>
      </w:r>
      <w:r>
        <w:rPr>
          <w:b w:val="0"/>
          <w:bCs w:val="0"/>
          <w:sz w:val="28"/>
          <w:szCs w:val="28"/>
          <w:highlight w:val="white"/>
        </w:rPr>
        <w:t xml:space="preserve">г. Мелитополь, Запорожская область</w:t>
      </w:r>
      <w:r>
        <w:rPr>
          <w:b w:val="0"/>
          <w:bCs w:val="0"/>
          <w:sz w:val="28"/>
          <w:szCs w:val="28"/>
          <w:highlight w:val="white"/>
        </w:rPr>
        <w:t xml:space="preserve">,</w:t>
      </w:r>
      <w:r>
        <w:rPr>
          <w:b w:val="0"/>
          <w:bCs w:val="0"/>
          <w:sz w:val="28"/>
          <w:szCs w:val="28"/>
          <w:highlight w:val="white"/>
        </w:rPr>
        <w:t xml:space="preserve"> </w:t>
        <w:br/>
      </w:r>
      <w:r>
        <w:rPr>
          <w:b w:val="0"/>
          <w:bCs w:val="0"/>
          <w:sz w:val="28"/>
          <w:szCs w:val="28"/>
          <w:highlight w:val="white"/>
        </w:rPr>
        <w:t xml:space="preserve">102,1 МГц, </w:t>
      </w:r>
      <w:r>
        <w:rPr>
          <w:b w:val="0"/>
          <w:bCs w:val="0"/>
          <w:sz w:val="28"/>
          <w:szCs w:val="28"/>
          <w:highlight w:val="white"/>
        </w:rPr>
        <w:t xml:space="preserve">0,25 кВт</w:t>
      </w:r>
      <w:r>
        <w:rPr>
          <w:b w:val="0"/>
          <w:bCs w:val="0"/>
          <w:sz w:val="28"/>
          <w:szCs w:val="28"/>
          <w:highlight w:val="white"/>
        </w:rPr>
        <w:t xml:space="preserve">, концепция вещания: </w:t>
      </w:r>
      <w:r>
        <w:rPr>
          <w:b w:val="0"/>
          <w:bCs w:val="0"/>
          <w:sz w:val="28"/>
          <w:szCs w:val="28"/>
          <w:highlight w:val="white"/>
        </w:rPr>
        <w:t xml:space="preserve">«</w:t>
      </w:r>
      <w:r>
        <w:rPr>
          <w:b w:val="0"/>
          <w:bCs w:val="0"/>
          <w:sz w:val="28"/>
          <w:szCs w:val="28"/>
          <w:highlight w:val="white"/>
        </w:rPr>
        <w:t xml:space="preserve">свободная</w:t>
      </w:r>
      <w:r>
        <w:rPr>
          <w:b w:val="0"/>
          <w:bCs w:val="0"/>
          <w:sz w:val="28"/>
          <w:szCs w:val="28"/>
          <w:highlight w:val="white"/>
        </w:rPr>
        <w:t xml:space="preserve">»</w:t>
      </w:r>
      <w:r>
        <w:rPr>
          <w:b w:val="0"/>
          <w:bCs w:val="0"/>
          <w:sz w:val="28"/>
          <w:szCs w:val="28"/>
          <w:highlight w:val="white"/>
        </w:rPr>
        <w:t xml:space="preserve">;</w:t>
      </w:r>
      <w:r>
        <w:rPr>
          <w:b w:val="0"/>
          <w:bCs w:val="0"/>
          <w:sz w:val="28"/>
          <w:szCs w:val="28"/>
          <w:highlight w:val="white"/>
        </w:rPr>
      </w:r>
      <w:r>
        <w:rPr>
          <w:b w:val="0"/>
          <w:bCs w:val="0"/>
          <w:sz w:val="28"/>
          <w:szCs w:val="28"/>
          <w:highlight w:val="white"/>
        </w:rPr>
      </w:r>
    </w:p>
    <w:p>
      <w:pPr>
        <w:pStyle w:val="969"/>
        <w:numPr>
          <w:ilvl w:val="0"/>
          <w:numId w:val="37"/>
        </w:numPr>
        <w:jc w:val="both"/>
        <w:tabs>
          <w:tab w:val="clear" w:pos="720" w:leader="none"/>
        </w:tabs>
        <w:rPr>
          <w:b w:val="0"/>
          <w:bCs w:val="0"/>
          <w:sz w:val="28"/>
          <w:szCs w:val="28"/>
          <w:highlight w:val="white"/>
          <w14:ligatures w14:val="none"/>
        </w:rPr>
      </w:pPr>
      <w:r>
        <w:rPr>
          <w:b w:val="0"/>
          <w:bCs w:val="0"/>
          <w:sz w:val="28"/>
          <w:szCs w:val="28"/>
          <w:highlight w:val="white"/>
        </w:rPr>
      </w:r>
      <w:r>
        <w:rPr>
          <w:b w:val="0"/>
          <w:bCs w:val="0"/>
          <w:sz w:val="28"/>
          <w:szCs w:val="28"/>
          <w:highlight w:val="white"/>
        </w:rPr>
        <w:t xml:space="preserve">МИА «РОССИЯ СЕГОДНЯ»</w:t>
      </w:r>
      <w:r>
        <w:rPr>
          <w:b w:val="0"/>
          <w:bCs w:val="0"/>
          <w:sz w:val="28"/>
          <w:szCs w:val="28"/>
          <w:highlight w:val="white"/>
        </w:rPr>
        <w:t xml:space="preserve"> </w:t>
      </w:r>
      <w:r>
        <w:rPr>
          <w:b w:val="0"/>
          <w:bCs w:val="0"/>
          <w:sz w:val="28"/>
          <w:szCs w:val="28"/>
          <w:highlight w:val="white"/>
        </w:rPr>
        <w:t xml:space="preserve">– </w:t>
      </w:r>
      <w:r>
        <w:rPr>
          <w:b w:val="0"/>
          <w:bCs w:val="0"/>
          <w:sz w:val="28"/>
          <w:szCs w:val="28"/>
          <w:highlight w:val="white"/>
        </w:rPr>
        <w:t xml:space="preserve">г. Мелитополь, Запорожская область</w:t>
      </w:r>
      <w:r>
        <w:rPr>
          <w:b w:val="0"/>
          <w:bCs w:val="0"/>
          <w:sz w:val="28"/>
          <w:szCs w:val="28"/>
          <w:highlight w:val="white"/>
        </w:rPr>
        <w:t xml:space="preserve">,</w:t>
      </w:r>
      <w:r>
        <w:rPr>
          <w:b w:val="0"/>
          <w:bCs w:val="0"/>
          <w:sz w:val="28"/>
          <w:szCs w:val="28"/>
          <w:highlight w:val="white"/>
        </w:rPr>
        <w:t xml:space="preserve"> </w:t>
      </w:r>
      <w:r>
        <w:rPr>
          <w:b w:val="0"/>
          <w:bCs w:val="0"/>
          <w:sz w:val="28"/>
          <w:szCs w:val="28"/>
          <w:highlight w:val="white"/>
        </w:rPr>
        <w:t xml:space="preserve">104,6 МГц, </w:t>
      </w:r>
      <w:r>
        <w:rPr>
          <w:b w:val="0"/>
          <w:bCs w:val="0"/>
          <w:sz w:val="28"/>
          <w:szCs w:val="28"/>
          <w:highlight w:val="white"/>
        </w:rPr>
        <w:t xml:space="preserve">1 кВт</w:t>
      </w:r>
      <w:r>
        <w:rPr>
          <w:b w:val="0"/>
          <w:bCs w:val="0"/>
          <w:sz w:val="28"/>
          <w:szCs w:val="28"/>
          <w:highlight w:val="white"/>
        </w:rPr>
        <w:t xml:space="preserve">, концепция вещания: </w:t>
      </w:r>
      <w:r>
        <w:rPr>
          <w:b w:val="0"/>
          <w:bCs w:val="0"/>
          <w:sz w:val="28"/>
          <w:szCs w:val="28"/>
          <w:highlight w:val="white"/>
        </w:rPr>
        <w:t xml:space="preserve">«</w:t>
      </w:r>
      <w:r>
        <w:rPr>
          <w:b w:val="0"/>
          <w:bCs w:val="0"/>
          <w:sz w:val="28"/>
          <w:szCs w:val="28"/>
          <w:highlight w:val="white"/>
        </w:rPr>
        <w:t xml:space="preserve">свободная</w:t>
      </w:r>
      <w:r>
        <w:rPr>
          <w:b w:val="0"/>
          <w:bCs w:val="0"/>
          <w:sz w:val="28"/>
          <w:szCs w:val="28"/>
          <w:highlight w:val="white"/>
        </w:rPr>
        <w:t xml:space="preserve">»</w:t>
      </w:r>
      <w:r>
        <w:rPr>
          <w:b w:val="0"/>
          <w:bCs w:val="0"/>
          <w:sz w:val="28"/>
          <w:szCs w:val="28"/>
          <w:highlight w:val="white"/>
        </w:rPr>
        <w:t xml:space="preserve">;</w:t>
      </w:r>
      <w:r>
        <w:rPr>
          <w:b w:val="0"/>
          <w:bCs w:val="0"/>
          <w:sz w:val="28"/>
          <w:szCs w:val="28"/>
          <w:highlight w:val="white"/>
        </w:rPr>
      </w:r>
      <w:r>
        <w:rPr>
          <w:b w:val="0"/>
          <w:bCs w:val="0"/>
          <w:sz w:val="28"/>
          <w:szCs w:val="28"/>
          <w:highlight w:val="white"/>
        </w:rPr>
      </w:r>
    </w:p>
    <w:p>
      <w:pPr>
        <w:pStyle w:val="969"/>
        <w:numPr>
          <w:ilvl w:val="0"/>
          <w:numId w:val="37"/>
        </w:numPr>
        <w:jc w:val="both"/>
        <w:tabs>
          <w:tab w:val="clear" w:pos="720" w:leader="none"/>
        </w:tabs>
        <w:rPr>
          <w:b w:val="0"/>
          <w:bCs w:val="0"/>
          <w:sz w:val="28"/>
          <w:szCs w:val="28"/>
          <w:highlight w:val="white"/>
          <w14:ligatures w14:val="none"/>
        </w:rPr>
      </w:pPr>
      <w:r>
        <w:rPr>
          <w:b w:val="0"/>
          <w:bCs w:val="0"/>
          <w:sz w:val="28"/>
          <w:szCs w:val="28"/>
          <w:highlight w:val="white"/>
        </w:rPr>
      </w:r>
      <w:r>
        <w:rPr>
          <w:b w:val="0"/>
          <w:bCs w:val="0"/>
          <w:sz w:val="28"/>
          <w:szCs w:val="28"/>
          <w:highlight w:val="white"/>
        </w:rPr>
        <w:t xml:space="preserve">ООО «РАДИО СЕТЬ»</w:t>
      </w:r>
      <w:r>
        <w:rPr>
          <w:b w:val="0"/>
          <w:bCs w:val="0"/>
          <w:sz w:val="28"/>
          <w:szCs w:val="28"/>
          <w:highlight w:val="white"/>
        </w:rPr>
        <w:t xml:space="preserve"> </w:t>
      </w:r>
      <w:r>
        <w:rPr>
          <w:b w:val="0"/>
          <w:bCs w:val="0"/>
          <w:sz w:val="28"/>
          <w:szCs w:val="28"/>
          <w:highlight w:val="white"/>
        </w:rPr>
        <w:t xml:space="preserve">– </w:t>
      </w:r>
      <w:r>
        <w:rPr>
          <w:b w:val="0"/>
          <w:bCs w:val="0"/>
          <w:sz w:val="28"/>
          <w:szCs w:val="28"/>
          <w:highlight w:val="white"/>
        </w:rPr>
        <w:t xml:space="preserve">г. Биробиджан, </w:t>
      </w:r>
      <w:r>
        <w:rPr>
          <w:b w:val="0"/>
          <w:bCs w:val="0"/>
          <w:sz w:val="28"/>
          <w:szCs w:val="28"/>
          <w:highlight w:val="white"/>
        </w:rPr>
        <w:t xml:space="preserve">Еврейская автономная область</w:t>
      </w:r>
      <w:r>
        <w:rPr>
          <w:b w:val="0"/>
          <w:bCs w:val="0"/>
          <w:sz w:val="28"/>
          <w:szCs w:val="28"/>
          <w:highlight w:val="white"/>
        </w:rPr>
        <w:t xml:space="preserve">, </w:t>
      </w:r>
      <w:r>
        <w:rPr>
          <w:b w:val="0"/>
          <w:bCs w:val="0"/>
          <w:sz w:val="28"/>
          <w:szCs w:val="28"/>
          <w:highlight w:val="white"/>
        </w:rPr>
        <w:t xml:space="preserve">92,4 МГц, </w:t>
      </w:r>
      <w:r>
        <w:rPr>
          <w:b w:val="0"/>
          <w:bCs w:val="0"/>
          <w:sz w:val="28"/>
          <w:szCs w:val="28"/>
          <w:highlight w:val="white"/>
        </w:rPr>
        <w:t xml:space="preserve">0,5 кВт</w:t>
      </w:r>
      <w:r>
        <w:rPr>
          <w:b w:val="0"/>
          <w:bCs w:val="0"/>
          <w:sz w:val="28"/>
          <w:szCs w:val="28"/>
          <w:highlight w:val="white"/>
        </w:rPr>
        <w:t xml:space="preserve">, концепция вещания: «свободная»;</w:t>
      </w:r>
      <w:r>
        <w:rPr>
          <w:b w:val="0"/>
          <w:bCs w:val="0"/>
          <w:sz w:val="28"/>
          <w:szCs w:val="28"/>
          <w:highlight w:val="white"/>
        </w:rPr>
      </w:r>
      <w:r>
        <w:rPr>
          <w:b w:val="0"/>
          <w:bCs w:val="0"/>
          <w:sz w:val="28"/>
          <w:szCs w:val="28"/>
          <w:highlight w:val="white"/>
        </w:rPr>
      </w:r>
    </w:p>
    <w:p>
      <w:pPr>
        <w:pStyle w:val="969"/>
        <w:numPr>
          <w:ilvl w:val="0"/>
          <w:numId w:val="37"/>
        </w:numPr>
        <w:jc w:val="both"/>
        <w:tabs>
          <w:tab w:val="clear" w:pos="720" w:leader="none"/>
        </w:tabs>
        <w:rPr>
          <w:b w:val="0"/>
          <w:bCs w:val="0"/>
          <w:sz w:val="28"/>
          <w:szCs w:val="28"/>
          <w:highlight w:val="white"/>
          <w14:ligatures w14:val="none"/>
        </w:rPr>
      </w:pPr>
      <w:r>
        <w:rPr>
          <w:b w:val="0"/>
          <w:bCs w:val="0"/>
          <w:sz w:val="28"/>
          <w:szCs w:val="28"/>
          <w:highlight w:val="white"/>
        </w:rPr>
      </w:r>
      <w:r>
        <w:rPr>
          <w:b w:val="0"/>
          <w:bCs w:val="0"/>
          <w:sz w:val="28"/>
          <w:szCs w:val="28"/>
          <w:highlight w:val="white"/>
        </w:rPr>
        <w:t xml:space="preserve">АО «РАДИОСТАНЦИЯ «ЕВРАЗИЯ-КЛАССИКА»</w:t>
      </w:r>
      <w:r>
        <w:rPr>
          <w:b w:val="0"/>
          <w:bCs w:val="0"/>
          <w:sz w:val="28"/>
          <w:szCs w:val="28"/>
          <w:highlight w:val="white"/>
        </w:rPr>
        <w:t xml:space="preserve"> – </w:t>
      </w:r>
      <w:r>
        <w:rPr>
          <w:b w:val="0"/>
          <w:bCs w:val="0"/>
          <w:sz w:val="28"/>
          <w:szCs w:val="28"/>
          <w:highlight w:val="white"/>
        </w:rPr>
        <w:t xml:space="preserve">г. Биробиджан, </w:t>
      </w:r>
      <w:r>
        <w:rPr>
          <w:b w:val="0"/>
          <w:bCs w:val="0"/>
          <w:sz w:val="28"/>
          <w:szCs w:val="28"/>
          <w:highlight w:val="white"/>
        </w:rPr>
        <w:t xml:space="preserve">Еврейская автономная область</w:t>
      </w:r>
      <w:r>
        <w:rPr>
          <w:b w:val="0"/>
          <w:bCs w:val="0"/>
          <w:sz w:val="28"/>
          <w:szCs w:val="28"/>
          <w:highlight w:val="white"/>
        </w:rPr>
        <w:t xml:space="preserve">,</w:t>
      </w:r>
      <w:r>
        <w:rPr>
          <w:b w:val="0"/>
          <w:bCs w:val="0"/>
          <w:sz w:val="28"/>
          <w:szCs w:val="28"/>
          <w:highlight w:val="white"/>
        </w:rPr>
        <w:t xml:space="preserve"> </w:t>
      </w:r>
      <w:r>
        <w:rPr>
          <w:b w:val="0"/>
          <w:bCs w:val="0"/>
          <w:sz w:val="28"/>
          <w:szCs w:val="28"/>
          <w:highlight w:val="white"/>
        </w:rPr>
        <w:t xml:space="preserve">94,0 МГц, </w:t>
      </w:r>
      <w:r>
        <w:rPr>
          <w:b w:val="0"/>
          <w:bCs w:val="0"/>
          <w:sz w:val="28"/>
          <w:szCs w:val="28"/>
          <w:highlight w:val="white"/>
        </w:rPr>
        <w:t xml:space="preserve">0,5 кВт</w:t>
      </w:r>
      <w:r>
        <w:rPr>
          <w:b w:val="0"/>
          <w:bCs w:val="0"/>
          <w:sz w:val="28"/>
          <w:szCs w:val="28"/>
          <w:highlight w:val="white"/>
        </w:rPr>
        <w:t xml:space="preserve">, </w:t>
      </w:r>
      <w:r>
        <w:rPr>
          <w:b w:val="0"/>
          <w:bCs w:val="0"/>
          <w:sz w:val="28"/>
          <w:szCs w:val="28"/>
          <w:highlight w:val="white"/>
        </w:rPr>
        <w:t xml:space="preserve">концепция вещания: «свободная»</w:t>
      </w:r>
      <w:r>
        <w:rPr>
          <w:b w:val="0"/>
          <w:bCs w:val="0"/>
          <w:sz w:val="28"/>
          <w:szCs w:val="28"/>
          <w:highlight w:val="white"/>
        </w:rPr>
        <w:t xml:space="preserve">.</w:t>
      </w:r>
      <w:r>
        <w:rPr>
          <w:b w:val="0"/>
          <w:bCs w:val="0"/>
          <w:sz w:val="28"/>
          <w:szCs w:val="28"/>
          <w:highlight w:val="white"/>
        </w:rPr>
      </w:r>
      <w:r>
        <w:rPr>
          <w:b w:val="0"/>
          <w:bCs w:val="0"/>
          <w:sz w:val="28"/>
          <w:szCs w:val="28"/>
          <w:highlight w:val="white"/>
        </w:rPr>
      </w:r>
    </w:p>
    <w:p>
      <w:pPr>
        <w:jc w:val="both"/>
        <w:tabs>
          <w:tab w:val="clear" w:pos="720" w:leader="none"/>
        </w:tabs>
        <w:rPr>
          <w:b w:val="0"/>
          <w:bCs w:val="0"/>
          <w:sz w:val="28"/>
          <w:szCs w:val="28"/>
          <w:highlight w:val="white"/>
        </w:rPr>
      </w:pPr>
      <w:r>
        <w:rPr>
          <w:b w:val="0"/>
          <w:bCs w:val="0"/>
          <w:sz w:val="28"/>
          <w:szCs w:val="28"/>
          <w:highlight w:val="none"/>
          <w14:ligatures w14:val="none"/>
        </w:rPr>
      </w:r>
      <w:r>
        <w:rPr>
          <w:b w:val="0"/>
          <w:bCs w:val="0"/>
          <w:sz w:val="28"/>
          <w:szCs w:val="28"/>
          <w:highlight w:val="white"/>
        </w:rPr>
      </w:r>
      <w:r>
        <w:rPr>
          <w:b w:val="0"/>
          <w:bCs w:val="0"/>
          <w:sz w:val="28"/>
          <w:szCs w:val="28"/>
          <w:highlight w:val="white"/>
        </w:rPr>
      </w:r>
    </w:p>
    <w:p>
      <w:pPr>
        <w:pStyle w:val="965"/>
        <w:ind w:firstLine="70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Внесение единовременной платы осуществляется победителями конкурсов в течение 10 рабочих дней, следующих за днем подписания протокола об итогах, путем перечисления денежных средств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,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в размере разницы между установленной единовременной платой и размером конкурсного взноса по следующим реквизитам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  <w:t xml:space="preserve">(действуют </w:t>
      </w:r>
      <w:r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  <w:t xml:space="preserve">с</w:t>
      </w:r>
      <w:r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  <w:t xml:space="preserve">01.0</w:t>
      </w:r>
      <w:r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  <w:t xml:space="preserve">9</w:t>
      </w:r>
      <w:r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  <w:t xml:space="preserve">.202</w:t>
      </w:r>
      <w:r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  <w:t xml:space="preserve">3</w:t>
      </w:r>
      <w:r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  <w:t xml:space="preserve">)</w:t>
      </w:r>
      <w:r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  <w:t xml:space="preserve">: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</w:r>
      <w:r>
        <w:rPr>
          <w:rFonts w:ascii="Times New Roman" w:hAnsi="Times New Roman" w:cs="Times New Roman"/>
          <w:color w:val="auto"/>
          <w:sz w:val="28"/>
          <w:szCs w:val="28"/>
        </w:rPr>
      </w:r>
    </w:p>
    <w:p>
      <w:pPr>
        <w:pStyle w:val="965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Получатель: Межрегиональное операционное УФК (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Роскомнадзор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, л/с 05951000960)</w:t>
      </w:r>
      <w:r>
        <w:rPr>
          <w:rFonts w:ascii="Times New Roman" w:hAnsi="Times New Roman" w:cs="Times New Roman"/>
          <w:color w:val="auto"/>
          <w:sz w:val="28"/>
          <w:szCs w:val="28"/>
        </w:rPr>
      </w:r>
      <w:r>
        <w:rPr>
          <w:rFonts w:ascii="Times New Roman" w:hAnsi="Times New Roman" w:cs="Times New Roman"/>
          <w:color w:val="auto"/>
          <w:sz w:val="28"/>
          <w:szCs w:val="28"/>
        </w:rPr>
      </w:r>
    </w:p>
    <w:p>
      <w:pPr>
        <w:pStyle w:val="965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ИНН 7705846236</w:t>
      </w:r>
      <w:r>
        <w:rPr>
          <w:rFonts w:ascii="Times New Roman" w:hAnsi="Times New Roman" w:cs="Times New Roman"/>
          <w:color w:val="auto"/>
          <w:sz w:val="28"/>
          <w:szCs w:val="28"/>
        </w:rPr>
      </w:r>
      <w:r>
        <w:rPr>
          <w:rFonts w:ascii="Times New Roman" w:hAnsi="Times New Roman" w:cs="Times New Roman"/>
          <w:color w:val="auto"/>
          <w:sz w:val="28"/>
          <w:szCs w:val="28"/>
        </w:rPr>
      </w:r>
    </w:p>
    <w:p>
      <w:pPr>
        <w:pStyle w:val="965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КПП 770501001</w:t>
      </w:r>
      <w:r>
        <w:rPr>
          <w:rFonts w:ascii="Times New Roman" w:hAnsi="Times New Roman" w:cs="Times New Roman"/>
          <w:color w:val="auto"/>
          <w:sz w:val="28"/>
          <w:szCs w:val="28"/>
        </w:rPr>
      </w:r>
      <w:r>
        <w:rPr>
          <w:rFonts w:ascii="Times New Roman" w:hAnsi="Times New Roman" w:cs="Times New Roman"/>
          <w:color w:val="auto"/>
          <w:sz w:val="28"/>
          <w:szCs w:val="28"/>
        </w:rPr>
      </w:r>
    </w:p>
    <w:p>
      <w:pPr>
        <w:pStyle w:val="965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Банк получателя: ОПЕРАЦИОННЫЙ ДЕПАРТАМЕНТ БАНКА  РОССИИ//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Межрегиональное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операционное УФК г. Москва</w:t>
      </w:r>
      <w:r>
        <w:rPr>
          <w:rFonts w:ascii="Times New Roman" w:hAnsi="Times New Roman" w:cs="Times New Roman"/>
          <w:color w:val="auto"/>
          <w:sz w:val="28"/>
          <w:szCs w:val="28"/>
        </w:rPr>
      </w:r>
      <w:r>
        <w:rPr>
          <w:rFonts w:ascii="Times New Roman" w:hAnsi="Times New Roman" w:cs="Times New Roman"/>
          <w:color w:val="auto"/>
          <w:sz w:val="28"/>
          <w:szCs w:val="28"/>
        </w:rPr>
      </w:r>
    </w:p>
    <w:p>
      <w:pPr>
        <w:pStyle w:val="965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БИК 024501901</w:t>
      </w:r>
      <w:r>
        <w:rPr>
          <w:rFonts w:ascii="Times New Roman" w:hAnsi="Times New Roman" w:cs="Times New Roman"/>
          <w:color w:val="auto"/>
          <w:sz w:val="28"/>
          <w:szCs w:val="28"/>
        </w:rPr>
      </w:r>
      <w:r>
        <w:rPr>
          <w:rFonts w:ascii="Times New Roman" w:hAnsi="Times New Roman" w:cs="Times New Roman"/>
          <w:color w:val="auto"/>
          <w:sz w:val="28"/>
          <w:szCs w:val="28"/>
        </w:rPr>
      </w:r>
    </w:p>
    <w:p>
      <w:pPr>
        <w:pStyle w:val="965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Номер единого казначейского счета  40102810045370000002</w:t>
      </w:r>
      <w:r>
        <w:rPr>
          <w:rFonts w:ascii="Times New Roman" w:hAnsi="Times New Roman" w:cs="Times New Roman"/>
          <w:color w:val="auto"/>
          <w:sz w:val="28"/>
          <w:szCs w:val="28"/>
        </w:rPr>
      </w:r>
      <w:r>
        <w:rPr>
          <w:rFonts w:ascii="Times New Roman" w:hAnsi="Times New Roman" w:cs="Times New Roman"/>
          <w:color w:val="auto"/>
          <w:sz w:val="28"/>
          <w:szCs w:val="28"/>
        </w:rPr>
      </w:r>
    </w:p>
    <w:p>
      <w:pPr>
        <w:pStyle w:val="965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Номер казначейского счета 03212643000000019502</w:t>
      </w:r>
      <w:r>
        <w:rPr>
          <w:rFonts w:ascii="Times New Roman" w:hAnsi="Times New Roman" w:cs="Times New Roman"/>
          <w:color w:val="auto"/>
          <w:sz w:val="28"/>
          <w:szCs w:val="28"/>
        </w:rPr>
      </w:r>
      <w:r>
        <w:rPr>
          <w:rFonts w:ascii="Times New Roman" w:hAnsi="Times New Roman" w:cs="Times New Roman"/>
          <w:color w:val="auto"/>
          <w:sz w:val="28"/>
          <w:szCs w:val="28"/>
        </w:rPr>
      </w:r>
    </w:p>
    <w:p>
      <w:pPr>
        <w:pStyle w:val="965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Назначение платежа: 2% конкурсный взнос // 98% единовременной платы, номинал частотного канала, город</w:t>
      </w:r>
      <w:r>
        <w:rPr>
          <w:rFonts w:ascii="Times New Roman" w:hAnsi="Times New Roman" w:cs="Times New Roman"/>
          <w:color w:val="auto"/>
          <w:sz w:val="28"/>
          <w:szCs w:val="28"/>
        </w:rPr>
      </w:r>
      <w:r>
        <w:rPr>
          <w:rFonts w:ascii="Times New Roman" w:hAnsi="Times New Roman" w:cs="Times New Roman"/>
          <w:color w:val="auto"/>
          <w:sz w:val="28"/>
          <w:szCs w:val="28"/>
        </w:rPr>
      </w:r>
    </w:p>
    <w:p>
      <w:pPr>
        <w:pStyle w:val="965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</w:r>
      <w:r>
        <w:rPr>
          <w:rFonts w:ascii="Times New Roman" w:hAnsi="Times New Roman" w:cs="Times New Roman"/>
          <w:color w:val="auto"/>
          <w:sz w:val="28"/>
          <w:szCs w:val="28"/>
        </w:rPr>
      </w:r>
      <w:r>
        <w:rPr>
          <w:rFonts w:ascii="Times New Roman" w:hAnsi="Times New Roman" w:cs="Times New Roman"/>
          <w:color w:val="auto"/>
          <w:sz w:val="28"/>
          <w:szCs w:val="28"/>
        </w:rPr>
      </w:r>
    </w:p>
    <w:p>
      <w:pPr>
        <w:pStyle w:val="965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ОБРАЩАЕМ ВНИМАНИЕ!!!</w:t>
      </w:r>
      <w:r>
        <w:rPr>
          <w:rFonts w:ascii="Times New Roman" w:hAnsi="Times New Roman" w:cs="Times New Roman"/>
          <w:color w:val="auto"/>
          <w:sz w:val="28"/>
          <w:szCs w:val="28"/>
        </w:rPr>
      </w:r>
      <w:r>
        <w:rPr>
          <w:rFonts w:ascii="Times New Roman" w:hAnsi="Times New Roman" w:cs="Times New Roman"/>
          <w:color w:val="auto"/>
          <w:sz w:val="28"/>
          <w:szCs w:val="28"/>
        </w:rPr>
      </w:r>
    </w:p>
    <w:p>
      <w:pPr>
        <w:pStyle w:val="965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При заполнении платежного поручения обязательно заполнять дополнительный код в поле 22 - 0006</w:t>
      </w:r>
      <w:r>
        <w:rPr>
          <w:rFonts w:ascii="Times New Roman" w:hAnsi="Times New Roman" w:cs="Times New Roman"/>
          <w:color w:val="auto"/>
          <w:sz w:val="28"/>
          <w:szCs w:val="28"/>
        </w:rPr>
      </w:r>
      <w:r>
        <w:rPr>
          <w:rFonts w:ascii="Times New Roman" w:hAnsi="Times New Roman" w:cs="Times New Roman"/>
          <w:color w:val="auto"/>
          <w:sz w:val="28"/>
          <w:szCs w:val="28"/>
        </w:rPr>
      </w:r>
    </w:p>
    <w:p>
      <w:pPr>
        <w:pStyle w:val="965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</w:r>
      <w:r>
        <w:rPr>
          <w:rFonts w:ascii="Times New Roman" w:hAnsi="Times New Roman" w:cs="Times New Roman"/>
          <w:color w:val="auto"/>
          <w:sz w:val="28"/>
          <w:szCs w:val="28"/>
        </w:rPr>
      </w:r>
      <w:r>
        <w:rPr>
          <w:rFonts w:ascii="Times New Roman" w:hAnsi="Times New Roman" w:cs="Times New Roman"/>
          <w:color w:val="auto"/>
          <w:sz w:val="28"/>
          <w:szCs w:val="28"/>
        </w:rPr>
      </w:r>
    </w:p>
    <w:p>
      <w:pPr>
        <w:pStyle w:val="957"/>
        <w:spacing w:line="24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Победитель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К</w:t>
      </w:r>
      <w:r>
        <w:rPr>
          <w:bCs/>
          <w:sz w:val="28"/>
          <w:szCs w:val="28"/>
        </w:rPr>
        <w:t xml:space="preserve">онкурс</w:t>
      </w:r>
      <w:r>
        <w:rPr>
          <w:bCs/>
          <w:sz w:val="28"/>
          <w:szCs w:val="28"/>
        </w:rPr>
        <w:t xml:space="preserve">а</w:t>
      </w:r>
      <w:r>
        <w:rPr>
          <w:bCs/>
          <w:sz w:val="28"/>
          <w:szCs w:val="28"/>
        </w:rPr>
        <w:t xml:space="preserve"> представляет организатору </w:t>
      </w:r>
      <w:r>
        <w:rPr>
          <w:bCs/>
          <w:sz w:val="28"/>
          <w:szCs w:val="28"/>
        </w:rPr>
        <w:t xml:space="preserve">К</w:t>
      </w:r>
      <w:r>
        <w:rPr>
          <w:bCs/>
          <w:sz w:val="28"/>
          <w:szCs w:val="28"/>
        </w:rPr>
        <w:t xml:space="preserve">онкурса документ, подтверждающий внесение единовременной платы, не позднее </w:t>
      </w:r>
      <w:r>
        <w:rPr>
          <w:bCs/>
          <w:sz w:val="28"/>
          <w:szCs w:val="28"/>
        </w:rPr>
        <w:br/>
      </w:r>
      <w:r>
        <w:rPr>
          <w:bCs/>
          <w:sz w:val="28"/>
          <w:szCs w:val="28"/>
        </w:rPr>
        <w:t xml:space="preserve">2 рабочих дней со дня перечисления денежных средств.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pStyle w:val="958"/>
        <w:ind w:firstLine="720"/>
        <w:rPr>
          <w:bCs/>
          <w:sz w:val="28"/>
          <w:szCs w:val="28"/>
          <w:lang w:val="ru-RU" w:eastAsia="ru-RU"/>
        </w:rPr>
      </w:pPr>
      <w:r>
        <w:rPr>
          <w:bCs/>
          <w:sz w:val="28"/>
          <w:szCs w:val="28"/>
          <w:lang w:val="ru-RU" w:eastAsia="ru-RU"/>
        </w:rPr>
        <w:t xml:space="preserve">Конкурсные взносы участников </w:t>
      </w:r>
      <w:r>
        <w:rPr>
          <w:bCs/>
          <w:sz w:val="28"/>
          <w:szCs w:val="28"/>
          <w:lang w:val="ru-RU" w:eastAsia="ru-RU"/>
        </w:rPr>
        <w:t xml:space="preserve">К</w:t>
      </w:r>
      <w:r>
        <w:rPr>
          <w:bCs/>
          <w:sz w:val="28"/>
          <w:szCs w:val="28"/>
          <w:lang w:val="ru-RU" w:eastAsia="ru-RU"/>
        </w:rPr>
        <w:t xml:space="preserve">онкурс</w:t>
      </w:r>
      <w:r>
        <w:rPr>
          <w:bCs/>
          <w:sz w:val="28"/>
          <w:szCs w:val="28"/>
          <w:lang w:val="ru-RU" w:eastAsia="ru-RU"/>
        </w:rPr>
        <w:t xml:space="preserve">а</w:t>
      </w:r>
      <w:r>
        <w:rPr>
          <w:bCs/>
          <w:sz w:val="28"/>
          <w:szCs w:val="28"/>
          <w:lang w:val="ru-RU" w:eastAsia="ru-RU"/>
        </w:rPr>
        <w:t xml:space="preserve">, не признанных победителями, лиц, не допущенных к участию в </w:t>
      </w:r>
      <w:r>
        <w:rPr>
          <w:bCs/>
          <w:sz w:val="28"/>
          <w:szCs w:val="28"/>
          <w:lang w:val="ru-RU" w:eastAsia="ru-RU"/>
        </w:rPr>
        <w:t xml:space="preserve">К</w:t>
      </w:r>
      <w:r>
        <w:rPr>
          <w:bCs/>
          <w:sz w:val="28"/>
          <w:szCs w:val="28"/>
          <w:lang w:val="ru-RU" w:eastAsia="ru-RU"/>
        </w:rPr>
        <w:t xml:space="preserve">онкурсе, либо участников </w:t>
      </w:r>
      <w:r>
        <w:rPr>
          <w:bCs/>
          <w:sz w:val="28"/>
          <w:szCs w:val="28"/>
          <w:lang w:val="ru-RU" w:eastAsia="ru-RU"/>
        </w:rPr>
        <w:t xml:space="preserve">К</w:t>
      </w:r>
      <w:r>
        <w:rPr>
          <w:bCs/>
          <w:sz w:val="28"/>
          <w:szCs w:val="28"/>
          <w:lang w:val="ru-RU" w:eastAsia="ru-RU"/>
        </w:rPr>
        <w:t xml:space="preserve">онкурса в случае признания </w:t>
      </w:r>
      <w:r>
        <w:rPr>
          <w:bCs/>
          <w:sz w:val="28"/>
          <w:szCs w:val="28"/>
          <w:lang w:val="ru-RU" w:eastAsia="ru-RU"/>
        </w:rPr>
        <w:t xml:space="preserve">К</w:t>
      </w:r>
      <w:r>
        <w:rPr>
          <w:bCs/>
          <w:sz w:val="28"/>
          <w:szCs w:val="28"/>
          <w:lang w:val="ru-RU" w:eastAsia="ru-RU"/>
        </w:rPr>
        <w:t xml:space="preserve">онкурса несостоявшимся возвращаются им в течение 15 рабочих дней со дня подписания протокола об итогах </w:t>
      </w:r>
      <w:r>
        <w:rPr>
          <w:bCs/>
          <w:sz w:val="28"/>
          <w:szCs w:val="28"/>
          <w:lang w:val="ru-RU" w:eastAsia="ru-RU"/>
        </w:rPr>
        <w:t xml:space="preserve">К</w:t>
      </w:r>
      <w:r>
        <w:rPr>
          <w:bCs/>
          <w:sz w:val="28"/>
          <w:szCs w:val="28"/>
          <w:lang w:val="ru-RU" w:eastAsia="ru-RU"/>
        </w:rPr>
        <w:t xml:space="preserve">онкурса.</w:t>
      </w:r>
      <w:r>
        <w:rPr>
          <w:bCs/>
          <w:sz w:val="28"/>
          <w:szCs w:val="28"/>
          <w:lang w:val="ru-RU" w:eastAsia="ru-RU"/>
        </w:rPr>
        <w:t xml:space="preserve"> Конкурсные документы проигравшие участники Конкурса могут получить в этот же период времени. По истечении указанного срока документы подлежат уничтожению. </w:t>
      </w:r>
      <w:r>
        <w:rPr>
          <w:bCs/>
          <w:sz w:val="28"/>
          <w:szCs w:val="28"/>
          <w:lang w:val="ru-RU" w:eastAsia="ru-RU"/>
        </w:rPr>
      </w:r>
      <w:r>
        <w:rPr>
          <w:bCs/>
          <w:sz w:val="28"/>
          <w:szCs w:val="28"/>
          <w:lang w:val="ru-RU" w:eastAsia="ru-RU"/>
        </w:rPr>
      </w:r>
    </w:p>
    <w:p>
      <w:pPr>
        <w:pStyle w:val="958"/>
        <w:ind w:firstLine="720"/>
        <w:rPr>
          <w:bCs/>
          <w:sz w:val="28"/>
          <w:szCs w:val="28"/>
          <w:lang w:val="ru-RU" w:eastAsia="ru-RU"/>
        </w:rPr>
      </w:pPr>
      <w:r>
        <w:rPr>
          <w:bCs/>
          <w:sz w:val="28"/>
          <w:szCs w:val="28"/>
          <w:lang w:val="ru-RU" w:eastAsia="ru-RU"/>
        </w:rPr>
        <w:t xml:space="preserve">Победителю конкурса необходимо представить в Федеральную службу по надзору в сфере связи, информационных технологий </w:t>
      </w:r>
      <w:r>
        <w:rPr>
          <w:bCs/>
          <w:sz w:val="28"/>
          <w:szCs w:val="28"/>
          <w:lang w:val="ru-RU" w:eastAsia="ru-RU"/>
        </w:rPr>
        <w:br/>
        <w:t xml:space="preserve">и массовых коммуникаций заявление о выделении конкретных радиочастот и прилагаемые к нему документы в срок, не превышающий </w:t>
      </w:r>
      <w:r>
        <w:rPr>
          <w:bCs/>
          <w:sz w:val="28"/>
          <w:szCs w:val="28"/>
          <w:lang w:val="ru-RU" w:eastAsia="ru-RU"/>
        </w:rPr>
        <w:br/>
        <w:t xml:space="preserve">2 лет с даты подписания протокола Федеральной конкурсной комиссии </w:t>
      </w:r>
      <w:r>
        <w:rPr>
          <w:bCs/>
          <w:sz w:val="28"/>
          <w:szCs w:val="28"/>
          <w:lang w:val="ru-RU" w:eastAsia="ru-RU"/>
        </w:rPr>
        <w:br/>
      </w:r>
      <w:r>
        <w:rPr>
          <w:bCs/>
          <w:sz w:val="28"/>
          <w:szCs w:val="28"/>
          <w:lang w:val="ru-RU" w:eastAsia="ru-RU"/>
        </w:rPr>
        <w:t xml:space="preserve">по телерадиовещанию об итогах конкурса.</w:t>
      </w:r>
      <w:r>
        <w:rPr>
          <w:bCs/>
          <w:sz w:val="28"/>
          <w:szCs w:val="28"/>
          <w:lang w:val="ru-RU" w:eastAsia="ru-RU"/>
        </w:rPr>
      </w:r>
      <w:r>
        <w:rPr>
          <w:bCs/>
          <w:sz w:val="28"/>
          <w:szCs w:val="28"/>
          <w:lang w:val="ru-RU" w:eastAsia="ru-RU"/>
        </w:rPr>
      </w:r>
    </w:p>
    <w:p>
      <w:pPr>
        <w:pStyle w:val="967"/>
        <w:ind w:firstLine="720"/>
        <w:jc w:val="both"/>
        <w:rPr>
          <w:rFonts w:ascii="Times New Roman" w:hAnsi="Times New Roman" w:eastAsia="Times New Roman" w:cs="Times New Roman"/>
          <w:b w:val="0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sz w:val="28"/>
          <w:szCs w:val="28"/>
        </w:rPr>
        <w:t xml:space="preserve">Итоги конкурса аннулируются в </w:t>
      </w:r>
      <w:r>
        <w:rPr>
          <w:rFonts w:ascii="Times New Roman" w:hAnsi="Times New Roman" w:eastAsia="Times New Roman" w:cs="Times New Roman"/>
          <w:b w:val="0"/>
          <w:sz w:val="28"/>
          <w:szCs w:val="28"/>
        </w:rPr>
        <w:t xml:space="preserve">случаях, установленных </w:t>
      </w:r>
      <w:r>
        <w:rPr>
          <w:rFonts w:ascii="Times New Roman" w:hAnsi="Times New Roman" w:eastAsia="Times New Roman" w:cs="Times New Roman"/>
          <w:b w:val="0"/>
          <w:sz w:val="28"/>
          <w:szCs w:val="28"/>
        </w:rPr>
        <w:t xml:space="preserve">пунктом</w:t>
      </w:r>
      <w:r>
        <w:rPr>
          <w:rFonts w:ascii="Times New Roman" w:hAnsi="Times New Roman" w:eastAsia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 w:val="0"/>
          <w:sz w:val="28"/>
          <w:szCs w:val="28"/>
        </w:rPr>
        <w:br/>
      </w:r>
      <w:r>
        <w:rPr>
          <w:rFonts w:ascii="Times New Roman" w:hAnsi="Times New Roman" w:eastAsia="Times New Roman" w:cs="Times New Roman"/>
          <w:b w:val="0"/>
          <w:sz w:val="28"/>
          <w:szCs w:val="28"/>
        </w:rPr>
        <w:t xml:space="preserve">23 Положения о проведении конкурса на получение права осуществлять наземное эфирное вещание, спутниковое вещание с использованием конкретных радиочастот, утвержденного постановлением Правительства Российской Феде</w:t>
      </w:r>
      <w:r>
        <w:rPr>
          <w:rFonts w:ascii="Times New Roman" w:hAnsi="Times New Roman" w:eastAsia="Times New Roman" w:cs="Times New Roman"/>
          <w:b w:val="0"/>
          <w:sz w:val="28"/>
          <w:szCs w:val="28"/>
        </w:rPr>
        <w:t xml:space="preserve">рации от 26 января 2012 г. № 25:</w:t>
      </w:r>
      <w:r>
        <w:rPr>
          <w:rFonts w:ascii="Times New Roman" w:hAnsi="Times New Roman" w:eastAsia="Times New Roman" w:cs="Times New Roman"/>
          <w:b w:val="0"/>
          <w:sz w:val="28"/>
          <w:szCs w:val="28"/>
        </w:rPr>
      </w:r>
      <w:r>
        <w:rPr>
          <w:rFonts w:ascii="Times New Roman" w:hAnsi="Times New Roman" w:eastAsia="Times New Roman" w:cs="Times New Roman"/>
          <w:b w:val="0"/>
          <w:sz w:val="28"/>
          <w:szCs w:val="28"/>
        </w:rPr>
      </w:r>
    </w:p>
    <w:p>
      <w:pPr>
        <w:pStyle w:val="966"/>
        <w:ind w:firstLine="540"/>
        <w:jc w:val="both"/>
        <w:rPr>
          <w:rFonts w:ascii="Times New Roman" w:hAnsi="Times New Roman" w:eastAsia="Times New Roman" w:cs="Times New Roman"/>
          <w:bCs/>
          <w:sz w:val="28"/>
          <w:szCs w:val="28"/>
        </w:rPr>
      </w:pPr>
      <w:r/>
      <w:bookmarkStart w:id="1" w:name="Par123"/>
      <w:r/>
      <w:bookmarkEnd w:id="1"/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- 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в случае непредставления победителем конкурса заявления 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br/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о выделении конкретных радиочастот в срок, установленный </w:t>
      </w:r>
      <w:hyperlink w:tooltip="ПРАВИЛА" w:anchor="Par140" w:history="1">
        <w:r>
          <w:rPr>
            <w:rFonts w:ascii="Times New Roman" w:hAnsi="Times New Roman" w:eastAsia="Times New Roman" w:cs="Times New Roman"/>
            <w:bCs/>
            <w:sz w:val="28"/>
            <w:szCs w:val="28"/>
          </w:rPr>
          <w:t xml:space="preserve">Правилами</w:t>
        </w:r>
      </w:hyperlink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 выделения конкретных радиочастот для вещания с использованием ограниченного радиочастотного ресурса (наземного эфирного вещания, спутникового вещания), утвержденными постановлением Правительства Российской Федерации от 26 января 2012 г. 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№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 25 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«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О выделении конкретных радиочастот для вещания с использованием ограниченного радиочастотного ресурса (наземного эфирного вещания, спутникового вещания), проведении конкурса, взимании единовременной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 платы за право осуществлять наземное эфирное вещание, спутниковое вещание 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br/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с использованием конкретных радиочастот и признании 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утратившими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 силу некоторых актов Правительства Российской Федерации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»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;</w:t>
      </w:r>
      <w:r>
        <w:rPr>
          <w:rFonts w:ascii="Times New Roman" w:hAnsi="Times New Roman" w:eastAsia="Times New Roman" w:cs="Times New Roman"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Cs/>
          <w:sz w:val="28"/>
          <w:szCs w:val="28"/>
        </w:rPr>
      </w:r>
    </w:p>
    <w:p>
      <w:pPr>
        <w:pStyle w:val="966"/>
        <w:ind w:firstLine="540"/>
        <w:jc w:val="both"/>
        <w:rPr>
          <w:rFonts w:ascii="Times New Roman" w:hAnsi="Times New Roman" w:eastAsia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-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 в случае 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неперечисления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 победителем конкурса единовременной платы за право осуществлять наземное эфирное вещание, спутниковое 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вещание в срок, установленный Правилами взимания единовременной платы за право осуществлять наземное эфирное вещание, спутниковое вещание с использованием конкретных радиочастот, утвержденными постановлением, указанным в </w:t>
      </w:r>
      <w:hyperlink w:tooltip="а) в случае непредставления победителем конкурса заявления о выделении конкретных радиочастот в срок, установленный Правилами выделения конкретных радиочастот для вещания с использованием ограниченного радиочастотного ресурса (наземного эфирного вещания, спутн" w:anchor="Par123" w:history="1">
        <w:r>
          <w:rPr>
            <w:rFonts w:ascii="Times New Roman" w:hAnsi="Times New Roman" w:eastAsia="Times New Roman" w:cs="Times New Roman"/>
            <w:bCs/>
            <w:sz w:val="28"/>
            <w:szCs w:val="28"/>
          </w:rPr>
          <w:t xml:space="preserve">подпункте </w:t>
        </w:r>
        <w:r>
          <w:rPr>
            <w:rFonts w:ascii="Times New Roman" w:hAnsi="Times New Roman" w:eastAsia="Times New Roman" w:cs="Times New Roman"/>
            <w:bCs/>
            <w:sz w:val="28"/>
            <w:szCs w:val="28"/>
          </w:rPr>
          <w:t xml:space="preserve">«</w:t>
        </w:r>
        <w:r>
          <w:rPr>
            <w:rFonts w:ascii="Times New Roman" w:hAnsi="Times New Roman" w:eastAsia="Times New Roman" w:cs="Times New Roman"/>
            <w:bCs/>
            <w:sz w:val="28"/>
            <w:szCs w:val="28"/>
          </w:rPr>
          <w:t xml:space="preserve">а</w:t>
        </w:r>
        <w:r>
          <w:rPr>
            <w:rFonts w:ascii="Times New Roman" w:hAnsi="Times New Roman" w:eastAsia="Times New Roman" w:cs="Times New Roman"/>
            <w:bCs/>
            <w:sz w:val="28"/>
            <w:szCs w:val="28"/>
          </w:rPr>
          <w:t xml:space="preserve">»</w:t>
        </w:r>
      </w:hyperlink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пункта 23 Положения 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br/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о проведении конкурса на получение права осуществлять наземное эфирное вещание, спутниковое вещание с использованием конкретных радиочастот, утвержденного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 постановлением Правительства 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br/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Российской Федерации от 26 января 2012 г. № 25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Cs/>
          <w:sz w:val="28"/>
          <w:szCs w:val="28"/>
        </w:rPr>
      </w:r>
    </w:p>
    <w:p>
      <w:pPr>
        <w:pStyle w:val="966"/>
        <w:ind w:firstLine="540"/>
        <w:jc w:val="both"/>
        <w:rPr>
          <w:rFonts w:ascii="Times New Roman" w:hAnsi="Times New Roman" w:eastAsia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При аннулировании итогов конкурса победитель конкурса утрачивает внесенный им конкурсный взнос.</w:t>
      </w:r>
      <w:r>
        <w:rPr>
          <w:rFonts w:ascii="Times New Roman" w:hAnsi="Times New Roman" w:eastAsia="Times New Roman" w:cs="Times New Roman"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Cs/>
          <w:sz w:val="28"/>
          <w:szCs w:val="28"/>
        </w:rPr>
      </w:r>
    </w:p>
    <w:p>
      <w:pPr>
        <w:pStyle w:val="966"/>
        <w:ind w:firstLine="540"/>
        <w:jc w:val="both"/>
        <w:rPr>
          <w:rFonts w:ascii="Times New Roman" w:hAnsi="Times New Roman" w:eastAsia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В случае отказа в выделении конкретных радиочастот по причине предоставления заявления о выделении конкретных радиочастот 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br/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по истечении 2 лет с даты подписания Федеральной конкурсной комиссии по телерадиовещанию протокола об итогах конкурса внесённая победителем конкурса единовременная плата не возвращается.</w:t>
      </w:r>
      <w:r>
        <w:rPr>
          <w:rFonts w:ascii="Times New Roman" w:hAnsi="Times New Roman" w:eastAsia="Times New Roman" w:cs="Times New Roman"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Cs/>
          <w:sz w:val="28"/>
          <w:szCs w:val="28"/>
        </w:rPr>
      </w:r>
    </w:p>
    <w:p>
      <w:pPr>
        <w:pStyle w:val="958"/>
        <w:ind w:firstLine="72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spacing w:after="120"/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 xml:space="preserve">Справки по телефонам: </w:t>
      </w:r>
      <w:r>
        <w:rPr>
          <w:b/>
          <w:sz w:val="28"/>
          <w:szCs w:val="28"/>
          <w:u w:val="single"/>
        </w:rPr>
        <w:t xml:space="preserve">(495) 587-40-66; (495) 587-40-81</w:t>
      </w:r>
      <w:r>
        <w:rPr>
          <w:b/>
          <w:sz w:val="28"/>
          <w:szCs w:val="28"/>
          <w:u w:val="single"/>
        </w:rPr>
      </w:r>
      <w:r>
        <w:rPr>
          <w:b/>
          <w:sz w:val="28"/>
          <w:szCs w:val="28"/>
          <w:u w:val="single"/>
        </w:rPr>
      </w:r>
    </w:p>
    <w:sectPr>
      <w:footnotePr/>
      <w:endnotePr/>
      <w:type w:val="nextPage"/>
      <w:pgSz w:w="11906" w:h="16838" w:orient="portrait"/>
      <w:pgMar w:top="1134" w:right="1134" w:bottom="567" w:left="1701" w:header="720" w:footer="72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Calibri">
    <w:panose1 w:val="020F0502020204030204"/>
  </w:font>
  <w:font w:name="Tahoma">
    <w:panose1 w:val="020B060403050404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00" w:hanging="360"/>
        <w:tabs>
          <w:tab w:val="num" w:pos="110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820" w:hanging="360"/>
        <w:tabs>
          <w:tab w:val="num" w:pos="182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540" w:hanging="180"/>
        <w:tabs>
          <w:tab w:val="num" w:pos="254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260" w:hanging="360"/>
        <w:tabs>
          <w:tab w:val="num" w:pos="326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980" w:hanging="360"/>
        <w:tabs>
          <w:tab w:val="num" w:pos="398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700" w:hanging="180"/>
        <w:tabs>
          <w:tab w:val="num" w:pos="470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420" w:hanging="360"/>
        <w:tabs>
          <w:tab w:val="num" w:pos="542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140" w:hanging="360"/>
        <w:tabs>
          <w:tab w:val="num" w:pos="614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860" w:hanging="180"/>
        <w:tabs>
          <w:tab w:val="num" w:pos="6860" w:leader="none"/>
        </w:tabs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40" w:hanging="360"/>
        <w:tabs>
          <w:tab w:val="num" w:pos="144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2160" w:hanging="360"/>
        <w:tabs>
          <w:tab w:val="num" w:pos="216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880" w:hanging="180"/>
        <w:tabs>
          <w:tab w:val="num" w:pos="288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600" w:hanging="360"/>
        <w:tabs>
          <w:tab w:val="num" w:pos="360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4320" w:hanging="360"/>
        <w:tabs>
          <w:tab w:val="num" w:pos="432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5040" w:hanging="180"/>
        <w:tabs>
          <w:tab w:val="num" w:pos="504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760" w:hanging="360"/>
        <w:tabs>
          <w:tab w:val="num" w:pos="576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480" w:hanging="360"/>
        <w:tabs>
          <w:tab w:val="num" w:pos="648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7200" w:hanging="180"/>
        <w:tabs>
          <w:tab w:val="num" w:pos="7200" w:leader="none"/>
        </w:tabs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02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29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01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73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45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17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89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61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339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927" w:hanging="360"/>
        <w:tabs>
          <w:tab w:val="num" w:pos="927" w:leader="none"/>
        </w:tabs>
      </w:pPr>
      <w:rPr>
        <w:rFonts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7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1100" w:hanging="360"/>
        <w:tabs>
          <w:tab w:val="num" w:pos="1100" w:leader="none"/>
        </w:tabs>
      </w:pPr>
      <w:rPr>
        <w:rFonts w:ascii="Times New Roman" w:hAnsi="Times New Roman" w:eastAsia="Times New Roman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820" w:hanging="360"/>
        <w:tabs>
          <w:tab w:val="num" w:pos="182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540" w:hanging="180"/>
        <w:tabs>
          <w:tab w:val="num" w:pos="254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260" w:hanging="360"/>
        <w:tabs>
          <w:tab w:val="num" w:pos="326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980" w:hanging="360"/>
        <w:tabs>
          <w:tab w:val="num" w:pos="398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700" w:hanging="180"/>
        <w:tabs>
          <w:tab w:val="num" w:pos="470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420" w:hanging="360"/>
        <w:tabs>
          <w:tab w:val="num" w:pos="542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140" w:hanging="360"/>
        <w:tabs>
          <w:tab w:val="num" w:pos="614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860" w:hanging="180"/>
        <w:tabs>
          <w:tab w:val="num" w:pos="6860" w:leader="none"/>
        </w:tabs>
      </w:pPr>
    </w:lvl>
  </w:abstractNum>
  <w:abstractNum w:abstractNumId="8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1100" w:hanging="360"/>
        <w:tabs>
          <w:tab w:val="num" w:pos="110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820" w:hanging="360"/>
        <w:tabs>
          <w:tab w:val="num" w:pos="182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540" w:hanging="180"/>
        <w:tabs>
          <w:tab w:val="num" w:pos="254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260" w:hanging="360"/>
        <w:tabs>
          <w:tab w:val="num" w:pos="326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980" w:hanging="360"/>
        <w:tabs>
          <w:tab w:val="num" w:pos="398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700" w:hanging="180"/>
        <w:tabs>
          <w:tab w:val="num" w:pos="470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420" w:hanging="360"/>
        <w:tabs>
          <w:tab w:val="num" w:pos="542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140" w:hanging="360"/>
        <w:tabs>
          <w:tab w:val="num" w:pos="614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860" w:hanging="180"/>
        <w:tabs>
          <w:tab w:val="num" w:pos="6860" w:leader="none"/>
        </w:tabs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60" w:hanging="360"/>
        <w:tabs>
          <w:tab w:val="num" w:pos="126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980" w:hanging="360"/>
        <w:tabs>
          <w:tab w:val="num" w:pos="198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700" w:hanging="180"/>
        <w:tabs>
          <w:tab w:val="num" w:pos="270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420" w:hanging="360"/>
        <w:tabs>
          <w:tab w:val="num" w:pos="342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4140" w:hanging="360"/>
        <w:tabs>
          <w:tab w:val="num" w:pos="414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860" w:hanging="180"/>
        <w:tabs>
          <w:tab w:val="num" w:pos="486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580" w:hanging="360"/>
        <w:tabs>
          <w:tab w:val="num" w:pos="558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300" w:hanging="360"/>
        <w:tabs>
          <w:tab w:val="num" w:pos="630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7020" w:hanging="180"/>
        <w:tabs>
          <w:tab w:val="num" w:pos="7020" w:leader="none"/>
        </w:tabs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02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222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942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662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382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102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822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542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262" w:hanging="180"/>
      </w:pPr>
    </w:lvl>
  </w:abstractNum>
  <w:abstractNum w:abstractNumId="13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1100" w:hanging="360"/>
        <w:tabs>
          <w:tab w:val="num" w:pos="1100" w:leader="none"/>
        </w:tabs>
      </w:pPr>
      <w:rPr>
        <w:rFonts w:ascii="Times New Roman" w:hAnsi="Times New Roman" w:eastAsia="Times New Roman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820" w:hanging="360"/>
        <w:tabs>
          <w:tab w:val="num" w:pos="182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540" w:hanging="180"/>
        <w:tabs>
          <w:tab w:val="num" w:pos="254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260" w:hanging="360"/>
        <w:tabs>
          <w:tab w:val="num" w:pos="326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980" w:hanging="360"/>
        <w:tabs>
          <w:tab w:val="num" w:pos="398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700" w:hanging="180"/>
        <w:tabs>
          <w:tab w:val="num" w:pos="470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420" w:hanging="360"/>
        <w:tabs>
          <w:tab w:val="num" w:pos="542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140" w:hanging="360"/>
        <w:tabs>
          <w:tab w:val="num" w:pos="614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860" w:hanging="180"/>
        <w:tabs>
          <w:tab w:val="num" w:pos="6860" w:leader="none"/>
        </w:tabs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</w:p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40" w:hanging="360"/>
        <w:tabs>
          <w:tab w:val="num" w:pos="144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2160" w:hanging="360"/>
        <w:tabs>
          <w:tab w:val="num" w:pos="216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880" w:hanging="180"/>
        <w:tabs>
          <w:tab w:val="num" w:pos="288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600" w:hanging="360"/>
        <w:tabs>
          <w:tab w:val="num" w:pos="360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4320" w:hanging="360"/>
        <w:tabs>
          <w:tab w:val="num" w:pos="432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5040" w:hanging="180"/>
        <w:tabs>
          <w:tab w:val="num" w:pos="504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760" w:hanging="360"/>
        <w:tabs>
          <w:tab w:val="num" w:pos="576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480" w:hanging="360"/>
        <w:tabs>
          <w:tab w:val="num" w:pos="648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7200" w:hanging="180"/>
        <w:tabs>
          <w:tab w:val="num" w:pos="7200" w:leader="none"/>
        </w:tabs>
      </w:pPr>
    </w:lvl>
  </w:abstractNum>
  <w:abstractNum w:abstractNumId="18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1100" w:hanging="360"/>
        <w:tabs>
          <w:tab w:val="num" w:pos="110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820" w:hanging="360"/>
        <w:tabs>
          <w:tab w:val="num" w:pos="182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540" w:hanging="180"/>
        <w:tabs>
          <w:tab w:val="num" w:pos="254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260" w:hanging="360"/>
        <w:tabs>
          <w:tab w:val="num" w:pos="326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980" w:hanging="360"/>
        <w:tabs>
          <w:tab w:val="num" w:pos="398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700" w:hanging="180"/>
        <w:tabs>
          <w:tab w:val="num" w:pos="470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420" w:hanging="360"/>
        <w:tabs>
          <w:tab w:val="num" w:pos="542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140" w:hanging="360"/>
        <w:tabs>
          <w:tab w:val="num" w:pos="614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860" w:hanging="180"/>
        <w:tabs>
          <w:tab w:val="num" w:pos="6860" w:leader="none"/>
        </w:tabs>
      </w:p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20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1100" w:hanging="360"/>
        <w:tabs>
          <w:tab w:val="num" w:pos="110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820" w:hanging="360"/>
        <w:tabs>
          <w:tab w:val="num" w:pos="182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540" w:hanging="180"/>
        <w:tabs>
          <w:tab w:val="num" w:pos="254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260" w:hanging="360"/>
        <w:tabs>
          <w:tab w:val="num" w:pos="326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980" w:hanging="360"/>
        <w:tabs>
          <w:tab w:val="num" w:pos="398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700" w:hanging="180"/>
        <w:tabs>
          <w:tab w:val="num" w:pos="470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420" w:hanging="360"/>
        <w:tabs>
          <w:tab w:val="num" w:pos="542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140" w:hanging="360"/>
        <w:tabs>
          <w:tab w:val="num" w:pos="614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860" w:hanging="180"/>
        <w:tabs>
          <w:tab w:val="num" w:pos="6860" w:leader="none"/>
        </w:tabs>
      </w:p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00" w:hanging="360"/>
        <w:tabs>
          <w:tab w:val="num" w:pos="1100" w:leader="none"/>
        </w:tabs>
      </w:pPr>
      <w:rPr>
        <w:rFonts w:ascii="Times New Roman" w:hAnsi="Times New Roman" w:eastAsia="Times New Roman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820" w:hanging="360"/>
        <w:tabs>
          <w:tab w:val="num" w:pos="182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540" w:hanging="180"/>
        <w:tabs>
          <w:tab w:val="num" w:pos="254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260" w:hanging="360"/>
        <w:tabs>
          <w:tab w:val="num" w:pos="326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980" w:hanging="360"/>
        <w:tabs>
          <w:tab w:val="num" w:pos="398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700" w:hanging="180"/>
        <w:tabs>
          <w:tab w:val="num" w:pos="470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420" w:hanging="360"/>
        <w:tabs>
          <w:tab w:val="num" w:pos="542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140" w:hanging="360"/>
        <w:tabs>
          <w:tab w:val="num" w:pos="614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860" w:hanging="180"/>
        <w:tabs>
          <w:tab w:val="num" w:pos="6860" w:leader="none"/>
        </w:tabs>
      </w:pPr>
    </w:lvl>
  </w:abstractNum>
  <w:abstractNum w:abstractNumId="22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1100" w:hanging="360"/>
        <w:tabs>
          <w:tab w:val="num" w:pos="1100" w:leader="none"/>
        </w:tabs>
      </w:pPr>
      <w:rPr>
        <w:rFonts w:ascii="Times New Roman" w:hAnsi="Times New Roman" w:eastAsia="Times New Roman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820" w:hanging="360"/>
        <w:tabs>
          <w:tab w:val="num" w:pos="182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540" w:hanging="180"/>
        <w:tabs>
          <w:tab w:val="num" w:pos="254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260" w:hanging="360"/>
        <w:tabs>
          <w:tab w:val="num" w:pos="326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980" w:hanging="360"/>
        <w:tabs>
          <w:tab w:val="num" w:pos="398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700" w:hanging="180"/>
        <w:tabs>
          <w:tab w:val="num" w:pos="470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420" w:hanging="360"/>
        <w:tabs>
          <w:tab w:val="num" w:pos="542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140" w:hanging="360"/>
        <w:tabs>
          <w:tab w:val="num" w:pos="614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860" w:hanging="180"/>
        <w:tabs>
          <w:tab w:val="num" w:pos="6860" w:leader="none"/>
        </w:tabs>
      </w:pPr>
    </w:lvl>
  </w:abstractNum>
  <w:abstractNum w:abstractNumId="23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1100" w:hanging="360"/>
        <w:tabs>
          <w:tab w:val="num" w:pos="1100" w:leader="none"/>
        </w:tabs>
      </w:pPr>
      <w:rPr>
        <w:rFonts w:ascii="Times New Roman" w:hAnsi="Times New Roman" w:eastAsia="Times New Roman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820" w:hanging="360"/>
        <w:tabs>
          <w:tab w:val="num" w:pos="182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540" w:hanging="180"/>
        <w:tabs>
          <w:tab w:val="num" w:pos="254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260" w:hanging="360"/>
        <w:tabs>
          <w:tab w:val="num" w:pos="326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980" w:hanging="360"/>
        <w:tabs>
          <w:tab w:val="num" w:pos="398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700" w:hanging="180"/>
        <w:tabs>
          <w:tab w:val="num" w:pos="470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420" w:hanging="360"/>
        <w:tabs>
          <w:tab w:val="num" w:pos="542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140" w:hanging="360"/>
        <w:tabs>
          <w:tab w:val="num" w:pos="614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860" w:hanging="180"/>
        <w:tabs>
          <w:tab w:val="num" w:pos="6860" w:leader="none"/>
        </w:tabs>
      </w:pPr>
    </w:lvl>
  </w:abstractNum>
  <w:abstractNum w:abstractNumId="24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1100" w:hanging="360"/>
        <w:tabs>
          <w:tab w:val="num" w:pos="110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820" w:hanging="360"/>
        <w:tabs>
          <w:tab w:val="num" w:pos="182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540" w:hanging="180"/>
        <w:tabs>
          <w:tab w:val="num" w:pos="254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260" w:hanging="360"/>
        <w:tabs>
          <w:tab w:val="num" w:pos="326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980" w:hanging="360"/>
        <w:tabs>
          <w:tab w:val="num" w:pos="398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700" w:hanging="180"/>
        <w:tabs>
          <w:tab w:val="num" w:pos="470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420" w:hanging="360"/>
        <w:tabs>
          <w:tab w:val="num" w:pos="542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140" w:hanging="360"/>
        <w:tabs>
          <w:tab w:val="num" w:pos="614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860" w:hanging="180"/>
        <w:tabs>
          <w:tab w:val="num" w:pos="6860" w:leader="none"/>
        </w:tabs>
      </w:pPr>
    </w:lvl>
  </w:abstractNum>
  <w:abstractNum w:abstractNumId="25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1100" w:hanging="360"/>
        <w:tabs>
          <w:tab w:val="num" w:pos="1100" w:leader="none"/>
        </w:tabs>
      </w:pPr>
      <w:rPr>
        <w:rFonts w:ascii="Times New Roman" w:hAnsi="Times New Roman" w:eastAsia="Times New Roman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820" w:hanging="360"/>
        <w:tabs>
          <w:tab w:val="num" w:pos="182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540" w:hanging="180"/>
        <w:tabs>
          <w:tab w:val="num" w:pos="254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260" w:hanging="360"/>
        <w:tabs>
          <w:tab w:val="num" w:pos="326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980" w:hanging="360"/>
        <w:tabs>
          <w:tab w:val="num" w:pos="398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700" w:hanging="180"/>
        <w:tabs>
          <w:tab w:val="num" w:pos="470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420" w:hanging="360"/>
        <w:tabs>
          <w:tab w:val="num" w:pos="542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140" w:hanging="360"/>
        <w:tabs>
          <w:tab w:val="num" w:pos="614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860" w:hanging="180"/>
        <w:tabs>
          <w:tab w:val="num" w:pos="6860" w:leader="none"/>
        </w:tabs>
      </w:pPr>
    </w:lvl>
  </w:abstractNum>
  <w:abstractNum w:abstractNumId="2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2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  <w:tabs>
          <w:tab w:val="num" w:pos="792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44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  <w:tabs>
          <w:tab w:val="num" w:pos="180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  <w:tabs>
          <w:tab w:val="num" w:pos="252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  <w:tabs>
          <w:tab w:val="num" w:pos="288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  <w:tabs>
          <w:tab w:val="num" w:pos="360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  <w:tabs>
          <w:tab w:val="num" w:pos="396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  <w:tabs>
          <w:tab w:val="num" w:pos="4680" w:leader="none"/>
        </w:tabs>
      </w:pPr>
    </w:lvl>
  </w:abstractNum>
  <w:abstractNum w:abstractNumId="2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02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51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71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91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11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31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51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71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91" w:hanging="180"/>
      </w:pPr>
    </w:lvl>
  </w:abstractNum>
  <w:abstractNum w:abstractNumId="2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87" w:hanging="360"/>
        <w:tabs>
          <w:tab w:val="num" w:pos="1287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2007" w:hanging="360"/>
        <w:tabs>
          <w:tab w:val="num" w:pos="2007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727" w:hanging="180"/>
        <w:tabs>
          <w:tab w:val="num" w:pos="2727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447" w:hanging="360"/>
        <w:tabs>
          <w:tab w:val="num" w:pos="3447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4167" w:hanging="360"/>
        <w:tabs>
          <w:tab w:val="num" w:pos="4167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887" w:hanging="180"/>
        <w:tabs>
          <w:tab w:val="num" w:pos="4887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607" w:hanging="360"/>
        <w:tabs>
          <w:tab w:val="num" w:pos="5607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327" w:hanging="360"/>
        <w:tabs>
          <w:tab w:val="num" w:pos="6327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7047" w:hanging="180"/>
        <w:tabs>
          <w:tab w:val="num" w:pos="7047" w:leader="none"/>
        </w:tabs>
      </w:pPr>
    </w:lvl>
  </w:abstractNum>
  <w:abstractNum w:abstractNumId="3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3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lowerLetter"/>
      <w:isLgl w:val="false"/>
      <w:suff w:val="tab"/>
      <w:lvlText w:val="%2)"/>
      <w:lvlJc w:val="left"/>
      <w:pPr>
        <w:ind w:left="720" w:hanging="360"/>
        <w:tabs>
          <w:tab w:val="num" w:pos="720" w:leader="none"/>
        </w:tabs>
      </w:pPr>
    </w:lvl>
    <w:lvl w:ilvl="2">
      <w:start w:val="1"/>
      <w:numFmt w:val="lowerRoman"/>
      <w:isLgl w:val="false"/>
      <w:suff w:val="tab"/>
      <w:lvlText w:val="%3)"/>
      <w:lvlJc w:val="left"/>
      <w:pPr>
        <w:ind w:left="1080" w:hanging="360"/>
        <w:tabs>
          <w:tab w:val="num" w:pos="1080" w:leader="none"/>
        </w:tabs>
      </w:pPr>
    </w:lvl>
    <w:lvl w:ilvl="3">
      <w:start w:val="1"/>
      <w:numFmt w:val="decimal"/>
      <w:isLgl w:val="false"/>
      <w:suff w:val="tab"/>
      <w:lvlText w:val="(%4)"/>
      <w:lvlJc w:val="left"/>
      <w:pPr>
        <w:ind w:left="1440" w:hanging="360"/>
        <w:tabs>
          <w:tab w:val="num" w:pos="1440" w:leader="none"/>
        </w:tabs>
      </w:pPr>
    </w:lvl>
    <w:lvl w:ilvl="4">
      <w:start w:val="1"/>
      <w:numFmt w:val="lowerLetter"/>
      <w:isLgl w:val="false"/>
      <w:suff w:val="tab"/>
      <w:lvlText w:val="(%5)"/>
      <w:lvlJc w:val="left"/>
      <w:pPr>
        <w:ind w:left="1800" w:hanging="360"/>
        <w:tabs>
          <w:tab w:val="num" w:pos="1800" w:leader="none"/>
        </w:tabs>
      </w:pPr>
    </w:lvl>
    <w:lvl w:ilvl="5">
      <w:start w:val="1"/>
      <w:numFmt w:val="lowerRoman"/>
      <w:isLgl w:val="false"/>
      <w:suff w:val="tab"/>
      <w:lvlText w:val="(%6)"/>
      <w:lvlJc w:val="left"/>
      <w:pPr>
        <w:ind w:left="2160" w:hanging="360"/>
        <w:tabs>
          <w:tab w:val="num" w:pos="216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2520" w:hanging="360"/>
        <w:tabs>
          <w:tab w:val="num" w:pos="252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2880" w:hanging="360"/>
        <w:tabs>
          <w:tab w:val="num" w:pos="2880" w:leader="none"/>
        </w:tabs>
      </w:pPr>
    </w:lvl>
    <w:lvl w:ilvl="8">
      <w:start w:val="1"/>
      <w:numFmt w:val="lowerRoman"/>
      <w:isLgl w:val="false"/>
      <w:suff w:val="tab"/>
      <w:lvlText w:val="%9."/>
      <w:lvlJc w:val="left"/>
      <w:pPr>
        <w:ind w:left="3240" w:hanging="360"/>
        <w:tabs>
          <w:tab w:val="num" w:pos="3240" w:leader="none"/>
        </w:tabs>
      </w:pPr>
    </w:lvl>
  </w:abstractNum>
  <w:abstractNum w:abstractNumId="32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1100" w:hanging="360"/>
        <w:tabs>
          <w:tab w:val="num" w:pos="1100" w:leader="none"/>
        </w:tabs>
      </w:pPr>
      <w:rPr>
        <w:rFonts w:ascii="Times New Roman" w:hAnsi="Times New Roman" w:eastAsia="Times New Roman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820" w:hanging="360"/>
        <w:tabs>
          <w:tab w:val="num" w:pos="182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540" w:hanging="180"/>
        <w:tabs>
          <w:tab w:val="num" w:pos="254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260" w:hanging="360"/>
        <w:tabs>
          <w:tab w:val="num" w:pos="326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980" w:hanging="360"/>
        <w:tabs>
          <w:tab w:val="num" w:pos="398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700" w:hanging="180"/>
        <w:tabs>
          <w:tab w:val="num" w:pos="470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420" w:hanging="360"/>
        <w:tabs>
          <w:tab w:val="num" w:pos="542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140" w:hanging="360"/>
        <w:tabs>
          <w:tab w:val="num" w:pos="614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860" w:hanging="180"/>
        <w:tabs>
          <w:tab w:val="num" w:pos="6860" w:leader="none"/>
        </w:tabs>
      </w:pPr>
    </w:lvl>
  </w:abstractNum>
  <w:abstractNum w:abstractNumId="3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3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  <w:tabs>
          <w:tab w:val="num" w:pos="108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  <w:tabs>
          <w:tab w:val="num" w:pos="180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  <w:tabs>
          <w:tab w:val="num" w:pos="252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  <w:tabs>
          <w:tab w:val="num" w:pos="324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  <w:tabs>
          <w:tab w:val="num" w:pos="396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  <w:tabs>
          <w:tab w:val="num" w:pos="468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  <w:tabs>
          <w:tab w:val="num" w:pos="540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  <w:tabs>
          <w:tab w:val="num" w:pos="6120" w:leader="none"/>
        </w:tabs>
      </w:pPr>
    </w:lvl>
  </w:abstractNum>
  <w:abstractNum w:abstractNumId="3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8" w:hanging="360"/>
        <w:tabs>
          <w:tab w:val="num" w:pos="928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3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3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3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b w:val="0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3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4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4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8" w:hanging="360"/>
        <w:tabs>
          <w:tab w:val="num" w:pos="928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820" w:hanging="360"/>
        <w:tabs>
          <w:tab w:val="num" w:pos="182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540" w:hanging="180"/>
        <w:tabs>
          <w:tab w:val="num" w:pos="254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260" w:hanging="360"/>
        <w:tabs>
          <w:tab w:val="num" w:pos="326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980" w:hanging="360"/>
        <w:tabs>
          <w:tab w:val="num" w:pos="398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700" w:hanging="180"/>
        <w:tabs>
          <w:tab w:val="num" w:pos="470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420" w:hanging="360"/>
        <w:tabs>
          <w:tab w:val="num" w:pos="542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140" w:hanging="360"/>
        <w:tabs>
          <w:tab w:val="num" w:pos="614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860" w:hanging="180"/>
        <w:tabs>
          <w:tab w:val="num" w:pos="6860" w:leader="none"/>
        </w:tabs>
      </w:pPr>
    </w:lvl>
  </w:abstractNum>
  <w:abstractNum w:abstractNumId="42">
    <w:multiLevelType w:val="hybridMultilevel"/>
    <w:lvl w:ilvl="0">
      <w:start w:val="1"/>
      <w:numFmt w:val="upperRoman"/>
      <w:pStyle w:val="943"/>
      <w:isLgl w:val="false"/>
      <w:suff w:val="tab"/>
      <w:lvlText w:val="Статья %1."/>
      <w:lvlJc w:val="left"/>
      <w:pPr>
        <w:ind w:left="0" w:firstLine="0"/>
        <w:tabs>
          <w:tab w:val="num" w:pos="1440" w:leader="none"/>
        </w:tabs>
      </w:pPr>
    </w:lvl>
    <w:lvl w:ilvl="1">
      <w:start w:val="1"/>
      <w:numFmt w:val="decimalZero"/>
      <w:pStyle w:val="944"/>
      <w:isLgl/>
      <w:suff w:val="tab"/>
      <w:lvlText w:val="Раздел %1.%2"/>
      <w:lvlJc w:val="left"/>
      <w:pPr>
        <w:ind w:left="0" w:firstLine="0"/>
        <w:tabs>
          <w:tab w:val="num" w:pos="1080" w:leader="none"/>
        </w:tabs>
      </w:pPr>
    </w:lvl>
    <w:lvl w:ilvl="2">
      <w:start w:val="1"/>
      <w:numFmt w:val="lowerLetter"/>
      <w:pStyle w:val="945"/>
      <w:isLgl w:val="false"/>
      <w:suff w:val="tab"/>
      <w:lvlText w:val="(%3)"/>
      <w:lvlJc w:val="left"/>
      <w:pPr>
        <w:ind w:left="720" w:hanging="432"/>
        <w:tabs>
          <w:tab w:val="num" w:pos="720" w:leader="none"/>
        </w:tabs>
      </w:pPr>
    </w:lvl>
    <w:lvl w:ilvl="3">
      <w:start w:val="1"/>
      <w:numFmt w:val="lowerRoman"/>
      <w:pStyle w:val="946"/>
      <w:isLgl w:val="false"/>
      <w:suff w:val="tab"/>
      <w:lvlText w:val="(%4)"/>
      <w:lvlJc w:val="right"/>
      <w:pPr>
        <w:ind w:left="864" w:hanging="144"/>
        <w:tabs>
          <w:tab w:val="num" w:pos="864" w:leader="none"/>
        </w:tabs>
      </w:pPr>
    </w:lvl>
    <w:lvl w:ilvl="4">
      <w:start w:val="1"/>
      <w:numFmt w:val="decimal"/>
      <w:pStyle w:val="947"/>
      <w:isLgl w:val="false"/>
      <w:suff w:val="tab"/>
      <w:lvlText w:val="%5)"/>
      <w:lvlJc w:val="left"/>
      <w:pPr>
        <w:ind w:left="1008" w:hanging="432"/>
        <w:tabs>
          <w:tab w:val="num" w:pos="1008" w:leader="none"/>
        </w:tabs>
      </w:pPr>
    </w:lvl>
    <w:lvl w:ilvl="5">
      <w:start w:val="1"/>
      <w:numFmt w:val="lowerLetter"/>
      <w:pStyle w:val="948"/>
      <w:isLgl w:val="false"/>
      <w:suff w:val="tab"/>
      <w:lvlText w:val="%6)"/>
      <w:lvlJc w:val="left"/>
      <w:pPr>
        <w:ind w:left="1152" w:hanging="432"/>
        <w:tabs>
          <w:tab w:val="num" w:pos="1152" w:leader="none"/>
        </w:tabs>
      </w:pPr>
    </w:lvl>
    <w:lvl w:ilvl="6">
      <w:start w:val="1"/>
      <w:numFmt w:val="lowerRoman"/>
      <w:pStyle w:val="949"/>
      <w:isLgl w:val="false"/>
      <w:suff w:val="tab"/>
      <w:lvlText w:val="%7)"/>
      <w:lvlJc w:val="right"/>
      <w:pPr>
        <w:ind w:left="1296" w:hanging="288"/>
        <w:tabs>
          <w:tab w:val="num" w:pos="1296" w:leader="none"/>
        </w:tabs>
      </w:pPr>
    </w:lvl>
    <w:lvl w:ilvl="7">
      <w:start w:val="1"/>
      <w:numFmt w:val="lowerLetter"/>
      <w:pStyle w:val="950"/>
      <w:isLgl w:val="false"/>
      <w:suff w:val="tab"/>
      <w:lvlText w:val="%8."/>
      <w:lvlJc w:val="left"/>
      <w:pPr>
        <w:ind w:left="1440" w:hanging="432"/>
        <w:tabs>
          <w:tab w:val="num" w:pos="1440" w:leader="none"/>
        </w:tabs>
      </w:pPr>
    </w:lvl>
    <w:lvl w:ilvl="8">
      <w:start w:val="1"/>
      <w:numFmt w:val="lowerRoman"/>
      <w:pStyle w:val="951"/>
      <w:isLgl w:val="false"/>
      <w:suff w:val="tab"/>
      <w:lvlText w:val="%9."/>
      <w:lvlJc w:val="right"/>
      <w:pPr>
        <w:ind w:left="1584" w:hanging="144"/>
        <w:tabs>
          <w:tab w:val="num" w:pos="1584" w:leader="none"/>
        </w:tabs>
      </w:pPr>
    </w:lvl>
  </w:abstractNum>
  <w:abstractNum w:abstractNumId="4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44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1100" w:hanging="360"/>
        <w:tabs>
          <w:tab w:val="num" w:pos="110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820" w:hanging="360"/>
        <w:tabs>
          <w:tab w:val="num" w:pos="182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540" w:hanging="180"/>
        <w:tabs>
          <w:tab w:val="num" w:pos="254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260" w:hanging="360"/>
        <w:tabs>
          <w:tab w:val="num" w:pos="326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980" w:hanging="360"/>
        <w:tabs>
          <w:tab w:val="num" w:pos="398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700" w:hanging="180"/>
        <w:tabs>
          <w:tab w:val="num" w:pos="470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420" w:hanging="360"/>
        <w:tabs>
          <w:tab w:val="num" w:pos="542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140" w:hanging="360"/>
        <w:tabs>
          <w:tab w:val="num" w:pos="614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860" w:hanging="180"/>
        <w:tabs>
          <w:tab w:val="num" w:pos="6860" w:leader="none"/>
        </w:tabs>
      </w:pPr>
    </w:lvl>
  </w:abstractNum>
  <w:abstractNum w:abstractNumId="4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02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222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942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662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382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102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822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542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262" w:hanging="180"/>
      </w:pPr>
    </w:lvl>
  </w:abstractNum>
  <w:abstractNum w:abstractNumId="4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4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4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4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5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5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b w:val="0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5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5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02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222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942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662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382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102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822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542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262" w:hanging="180"/>
      </w:pPr>
    </w:lvl>
  </w:abstractNum>
  <w:abstractNum w:abstractNumId="5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b w:val="0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5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b w:val="0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5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b w:val="0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5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b w:val="0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5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b w:val="0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5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b w:val="0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6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b w:val="0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6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b w:val="0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6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b w:val="0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6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b w:val="0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6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b w:val="0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num w:numId="1">
    <w:abstractNumId w:val="0"/>
  </w:num>
  <w:num w:numId="2">
    <w:abstractNumId w:val="18"/>
  </w:num>
  <w:num w:numId="3">
    <w:abstractNumId w:val="5"/>
  </w:num>
  <w:num w:numId="4">
    <w:abstractNumId w:val="2"/>
  </w:num>
  <w:num w:numId="5">
    <w:abstractNumId w:val="34"/>
  </w:num>
  <w:num w:numId="6">
    <w:abstractNumId w:val="11"/>
  </w:num>
  <w:num w:numId="7">
    <w:abstractNumId w:val="39"/>
  </w:num>
  <w:num w:numId="8">
    <w:abstractNumId w:val="19"/>
  </w:num>
  <w:num w:numId="9">
    <w:abstractNumId w:val="29"/>
  </w:num>
  <w:num w:numId="1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7"/>
  </w:num>
  <w:num w:numId="12">
    <w:abstractNumId w:val="8"/>
  </w:num>
  <w:num w:numId="13">
    <w:abstractNumId w:val="20"/>
  </w:num>
  <w:num w:numId="14">
    <w:abstractNumId w:val="22"/>
  </w:num>
  <w:num w:numId="15">
    <w:abstractNumId w:val="24"/>
  </w:num>
  <w:num w:numId="16">
    <w:abstractNumId w:val="44"/>
  </w:num>
  <w:num w:numId="17">
    <w:abstractNumId w:val="13"/>
  </w:num>
  <w:num w:numId="18">
    <w:abstractNumId w:val="23"/>
  </w:num>
  <w:num w:numId="19">
    <w:abstractNumId w:val="7"/>
  </w:num>
  <w:num w:numId="20">
    <w:abstractNumId w:val="21"/>
  </w:num>
  <w:num w:numId="21">
    <w:abstractNumId w:val="32"/>
  </w:num>
  <w:num w:numId="22">
    <w:abstractNumId w:val="42"/>
  </w:num>
  <w:num w:numId="23">
    <w:abstractNumId w:val="27"/>
  </w:num>
  <w:num w:numId="24">
    <w:abstractNumId w:val="31"/>
  </w:num>
  <w:num w:numId="25">
    <w:abstractNumId w:val="25"/>
  </w:num>
  <w:num w:numId="26">
    <w:abstractNumId w:val="41"/>
  </w:num>
  <w:num w:numId="27">
    <w:abstractNumId w:val="4"/>
  </w:num>
  <w:num w:numId="28">
    <w:abstractNumId w:val="9"/>
  </w:num>
  <w:num w:numId="29">
    <w:abstractNumId w:val="15"/>
  </w:num>
  <w:num w:numId="30">
    <w:abstractNumId w:val="26"/>
  </w:num>
  <w:num w:numId="31">
    <w:abstractNumId w:val="46"/>
  </w:num>
  <w:num w:numId="32">
    <w:abstractNumId w:val="36"/>
  </w:num>
  <w:num w:numId="33">
    <w:abstractNumId w:val="33"/>
  </w:num>
  <w:num w:numId="34">
    <w:abstractNumId w:val="10"/>
  </w:num>
  <w:num w:numId="35">
    <w:abstractNumId w:val="17"/>
  </w:num>
  <w:num w:numId="36">
    <w:abstractNumId w:val="35"/>
  </w:num>
  <w:num w:numId="37">
    <w:abstractNumId w:val="38"/>
  </w:num>
  <w:num w:numId="38">
    <w:abstractNumId w:val="43"/>
  </w:num>
  <w:num w:numId="39">
    <w:abstractNumId w:val="14"/>
  </w:num>
  <w:num w:numId="40">
    <w:abstractNumId w:val="40"/>
  </w:num>
  <w:num w:numId="4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6"/>
  </w:num>
  <w:num w:numId="43">
    <w:abstractNumId w:val="16"/>
  </w:num>
  <w:num w:numId="44">
    <w:abstractNumId w:val="1"/>
  </w:num>
  <w:num w:numId="45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28"/>
  </w:num>
  <w:num w:numId="4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3"/>
  </w:num>
  <w:num w:numId="49">
    <w:abstractNumId w:val="47"/>
  </w:num>
  <w:num w:numId="50">
    <w:abstractNumId w:val="48"/>
  </w:num>
  <w:num w:numId="51">
    <w:abstractNumId w:val="49"/>
  </w:num>
  <w:num w:numId="52">
    <w:abstractNumId w:val="50"/>
  </w:num>
  <w:num w:numId="53">
    <w:abstractNumId w:val="51"/>
  </w:num>
  <w:num w:numId="54">
    <w:abstractNumId w:val="52"/>
  </w:num>
  <w:num w:numId="55">
    <w:abstractNumId w:val="53"/>
  </w:num>
  <w:num w:numId="56">
    <w:abstractNumId w:val="54"/>
  </w:num>
  <w:num w:numId="57">
    <w:abstractNumId w:val="55"/>
  </w:num>
  <w:num w:numId="58">
    <w:abstractNumId w:val="56"/>
  </w:num>
  <w:num w:numId="59">
    <w:abstractNumId w:val="57"/>
  </w:num>
  <w:num w:numId="60">
    <w:abstractNumId w:val="58"/>
  </w:num>
  <w:num w:numId="61">
    <w:abstractNumId w:val="59"/>
  </w:num>
  <w:num w:numId="62">
    <w:abstractNumId w:val="60"/>
  </w:num>
  <w:num w:numId="63">
    <w:abstractNumId w:val="61"/>
  </w:num>
  <w:num w:numId="64">
    <w:abstractNumId w:val="62"/>
  </w:num>
  <w:num w:numId="65">
    <w:abstractNumId w:val="63"/>
  </w:num>
  <w:num w:numId="66">
    <w:abstractNumId w:val="6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77">
    <w:name w:val="Heading 1 Char"/>
    <w:basedOn w:val="952"/>
    <w:link w:val="943"/>
    <w:uiPriority w:val="9"/>
    <w:rPr>
      <w:rFonts w:ascii="Arial" w:hAnsi="Arial" w:eastAsia="Arial" w:cs="Arial"/>
      <w:sz w:val="40"/>
      <w:szCs w:val="40"/>
    </w:rPr>
  </w:style>
  <w:style w:type="character" w:styleId="778">
    <w:name w:val="Heading 2 Char"/>
    <w:basedOn w:val="952"/>
    <w:link w:val="944"/>
    <w:uiPriority w:val="9"/>
    <w:rPr>
      <w:rFonts w:ascii="Arial" w:hAnsi="Arial" w:eastAsia="Arial" w:cs="Arial"/>
      <w:sz w:val="34"/>
    </w:rPr>
  </w:style>
  <w:style w:type="character" w:styleId="779">
    <w:name w:val="Heading 3 Char"/>
    <w:basedOn w:val="952"/>
    <w:link w:val="945"/>
    <w:uiPriority w:val="9"/>
    <w:rPr>
      <w:rFonts w:ascii="Arial" w:hAnsi="Arial" w:eastAsia="Arial" w:cs="Arial"/>
      <w:sz w:val="30"/>
      <w:szCs w:val="30"/>
    </w:rPr>
  </w:style>
  <w:style w:type="character" w:styleId="780">
    <w:name w:val="Heading 4 Char"/>
    <w:basedOn w:val="952"/>
    <w:link w:val="946"/>
    <w:uiPriority w:val="9"/>
    <w:rPr>
      <w:rFonts w:ascii="Arial" w:hAnsi="Arial" w:eastAsia="Arial" w:cs="Arial"/>
      <w:b/>
      <w:bCs/>
      <w:sz w:val="26"/>
      <w:szCs w:val="26"/>
    </w:rPr>
  </w:style>
  <w:style w:type="character" w:styleId="781">
    <w:name w:val="Heading 5 Char"/>
    <w:basedOn w:val="952"/>
    <w:link w:val="947"/>
    <w:uiPriority w:val="9"/>
    <w:rPr>
      <w:rFonts w:ascii="Arial" w:hAnsi="Arial" w:eastAsia="Arial" w:cs="Arial"/>
      <w:b/>
      <w:bCs/>
      <w:sz w:val="24"/>
      <w:szCs w:val="24"/>
    </w:rPr>
  </w:style>
  <w:style w:type="character" w:styleId="782">
    <w:name w:val="Heading 6 Char"/>
    <w:basedOn w:val="952"/>
    <w:link w:val="948"/>
    <w:uiPriority w:val="9"/>
    <w:rPr>
      <w:rFonts w:ascii="Arial" w:hAnsi="Arial" w:eastAsia="Arial" w:cs="Arial"/>
      <w:b/>
      <w:bCs/>
      <w:sz w:val="22"/>
      <w:szCs w:val="22"/>
    </w:rPr>
  </w:style>
  <w:style w:type="character" w:styleId="783">
    <w:name w:val="Heading 7 Char"/>
    <w:basedOn w:val="952"/>
    <w:link w:val="94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84">
    <w:name w:val="Heading 8 Char"/>
    <w:basedOn w:val="952"/>
    <w:link w:val="950"/>
    <w:uiPriority w:val="9"/>
    <w:rPr>
      <w:rFonts w:ascii="Arial" w:hAnsi="Arial" w:eastAsia="Arial" w:cs="Arial"/>
      <w:i/>
      <w:iCs/>
      <w:sz w:val="22"/>
      <w:szCs w:val="22"/>
    </w:rPr>
  </w:style>
  <w:style w:type="character" w:styleId="785">
    <w:name w:val="Heading 9 Char"/>
    <w:basedOn w:val="952"/>
    <w:link w:val="951"/>
    <w:uiPriority w:val="9"/>
    <w:rPr>
      <w:rFonts w:ascii="Arial" w:hAnsi="Arial" w:eastAsia="Arial" w:cs="Arial"/>
      <w:i/>
      <w:iCs/>
      <w:sz w:val="21"/>
      <w:szCs w:val="21"/>
    </w:rPr>
  </w:style>
  <w:style w:type="paragraph" w:styleId="786">
    <w:name w:val="No Spacing"/>
    <w:uiPriority w:val="1"/>
    <w:qFormat/>
    <w:pPr>
      <w:spacing w:before="0" w:after="0" w:line="240" w:lineRule="auto"/>
    </w:pPr>
  </w:style>
  <w:style w:type="character" w:styleId="787">
    <w:name w:val="Title Char"/>
    <w:basedOn w:val="952"/>
    <w:link w:val="955"/>
    <w:uiPriority w:val="10"/>
    <w:rPr>
      <w:sz w:val="48"/>
      <w:szCs w:val="48"/>
    </w:rPr>
  </w:style>
  <w:style w:type="paragraph" w:styleId="788">
    <w:name w:val="Subtitle"/>
    <w:basedOn w:val="942"/>
    <w:next w:val="942"/>
    <w:link w:val="789"/>
    <w:uiPriority w:val="11"/>
    <w:qFormat/>
    <w:pPr>
      <w:spacing w:before="200" w:after="200"/>
    </w:pPr>
    <w:rPr>
      <w:sz w:val="24"/>
      <w:szCs w:val="24"/>
    </w:rPr>
  </w:style>
  <w:style w:type="character" w:styleId="789">
    <w:name w:val="Subtitle Char"/>
    <w:basedOn w:val="952"/>
    <w:link w:val="788"/>
    <w:uiPriority w:val="11"/>
    <w:rPr>
      <w:sz w:val="24"/>
      <w:szCs w:val="24"/>
    </w:rPr>
  </w:style>
  <w:style w:type="paragraph" w:styleId="790">
    <w:name w:val="Quote"/>
    <w:basedOn w:val="942"/>
    <w:next w:val="942"/>
    <w:link w:val="791"/>
    <w:uiPriority w:val="29"/>
    <w:qFormat/>
    <w:pPr>
      <w:ind w:left="720" w:right="720"/>
    </w:pPr>
    <w:rPr>
      <w:i/>
    </w:rPr>
  </w:style>
  <w:style w:type="character" w:styleId="791">
    <w:name w:val="Quote Char"/>
    <w:link w:val="790"/>
    <w:uiPriority w:val="29"/>
    <w:rPr>
      <w:i/>
    </w:rPr>
  </w:style>
  <w:style w:type="paragraph" w:styleId="792">
    <w:name w:val="Intense Quote"/>
    <w:basedOn w:val="942"/>
    <w:next w:val="942"/>
    <w:link w:val="79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93">
    <w:name w:val="Intense Quote Char"/>
    <w:link w:val="792"/>
    <w:uiPriority w:val="30"/>
    <w:rPr>
      <w:i/>
    </w:rPr>
  </w:style>
  <w:style w:type="paragraph" w:styleId="794">
    <w:name w:val="Header"/>
    <w:basedOn w:val="942"/>
    <w:link w:val="79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95">
    <w:name w:val="Header Char"/>
    <w:basedOn w:val="952"/>
    <w:link w:val="794"/>
    <w:uiPriority w:val="99"/>
  </w:style>
  <w:style w:type="paragraph" w:styleId="796">
    <w:name w:val="Footer"/>
    <w:basedOn w:val="942"/>
    <w:link w:val="79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97">
    <w:name w:val="Footer Char"/>
    <w:basedOn w:val="952"/>
    <w:link w:val="796"/>
    <w:uiPriority w:val="99"/>
  </w:style>
  <w:style w:type="paragraph" w:styleId="798">
    <w:name w:val="Caption"/>
    <w:basedOn w:val="942"/>
    <w:next w:val="942"/>
    <w:link w:val="79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99">
    <w:name w:val="Caption Char"/>
    <w:basedOn w:val="952"/>
    <w:link w:val="798"/>
    <w:uiPriority w:val="35"/>
    <w:rPr>
      <w:b/>
      <w:bCs/>
      <w:color w:val="4f81bd" w:themeColor="accent1"/>
      <w:sz w:val="18"/>
      <w:szCs w:val="18"/>
    </w:rPr>
  </w:style>
  <w:style w:type="table" w:styleId="800">
    <w:name w:val="Table Grid Light"/>
    <w:basedOn w:val="95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01">
    <w:name w:val="Plain Table 1"/>
    <w:basedOn w:val="95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02">
    <w:name w:val="Plain Table 2"/>
    <w:basedOn w:val="95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03">
    <w:name w:val="Plain Table 3"/>
    <w:basedOn w:val="9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04">
    <w:name w:val="Plain Table 4"/>
    <w:basedOn w:val="9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Plain Table 5"/>
    <w:basedOn w:val="9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06">
    <w:name w:val="Grid Table 1 Light"/>
    <w:basedOn w:val="9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Grid Table 1 Light - Accent 1"/>
    <w:basedOn w:val="9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Grid Table 1 Light - Accent 2"/>
    <w:basedOn w:val="9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Grid Table 1 Light - Accent 3"/>
    <w:basedOn w:val="9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Grid Table 1 Light - Accent 4"/>
    <w:basedOn w:val="9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Grid Table 1 Light - Accent 5"/>
    <w:basedOn w:val="9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Grid Table 1 Light - Accent 6"/>
    <w:basedOn w:val="9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Grid Table 2"/>
    <w:basedOn w:val="9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>
    <w:name w:val="Grid Table 2 - Accent 1"/>
    <w:basedOn w:val="9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>
    <w:name w:val="Grid Table 2 - Accent 2"/>
    <w:basedOn w:val="9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>
    <w:name w:val="Grid Table 2 - Accent 3"/>
    <w:basedOn w:val="9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>
    <w:name w:val="Grid Table 2 - Accent 4"/>
    <w:basedOn w:val="9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>
    <w:name w:val="Grid Table 2 - Accent 5"/>
    <w:basedOn w:val="9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>
    <w:name w:val="Grid Table 2 - Accent 6"/>
    <w:basedOn w:val="9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>
    <w:name w:val="Grid Table 3"/>
    <w:basedOn w:val="9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>
    <w:name w:val="Grid Table 3 - Accent 1"/>
    <w:basedOn w:val="9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>
    <w:name w:val="Grid Table 3 - Accent 2"/>
    <w:basedOn w:val="9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>
    <w:name w:val="Grid Table 3 - Accent 3"/>
    <w:basedOn w:val="9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>
    <w:name w:val="Grid Table 3 - Accent 4"/>
    <w:basedOn w:val="9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>
    <w:name w:val="Grid Table 3 - Accent 5"/>
    <w:basedOn w:val="9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>
    <w:name w:val="Grid Table 3 - Accent 6"/>
    <w:basedOn w:val="9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>
    <w:name w:val="Grid Table 4"/>
    <w:basedOn w:val="95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28">
    <w:name w:val="Grid Table 4 - Accent 1"/>
    <w:basedOn w:val="95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829">
    <w:name w:val="Grid Table 4 - Accent 2"/>
    <w:basedOn w:val="95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30">
    <w:name w:val="Grid Table 4 - Accent 3"/>
    <w:basedOn w:val="95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31">
    <w:name w:val="Grid Table 4 - Accent 4"/>
    <w:basedOn w:val="95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32">
    <w:name w:val="Grid Table 4 - Accent 5"/>
    <w:basedOn w:val="95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33">
    <w:name w:val="Grid Table 4 - Accent 6"/>
    <w:basedOn w:val="95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4">
    <w:name w:val="Grid Table 5 Dark"/>
    <w:basedOn w:val="9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35">
    <w:name w:val="Grid Table 5 Dark- Accent 1"/>
    <w:basedOn w:val="9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36">
    <w:name w:val="Grid Table 5 Dark - Accent 2"/>
    <w:basedOn w:val="9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37">
    <w:name w:val="Grid Table 5 Dark - Accent 3"/>
    <w:basedOn w:val="9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38">
    <w:name w:val="Grid Table 5 Dark- Accent 4"/>
    <w:basedOn w:val="9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39">
    <w:name w:val="Grid Table 5 Dark - Accent 5"/>
    <w:basedOn w:val="9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40">
    <w:name w:val="Grid Table 5 Dark - Accent 6"/>
    <w:basedOn w:val="9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41">
    <w:name w:val="Grid Table 6 Colorful"/>
    <w:basedOn w:val="9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42">
    <w:name w:val="Grid Table 6 Colorful - Accent 1"/>
    <w:basedOn w:val="9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43">
    <w:name w:val="Grid Table 6 Colorful - Accent 2"/>
    <w:basedOn w:val="9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44">
    <w:name w:val="Grid Table 6 Colorful - Accent 3"/>
    <w:basedOn w:val="9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45">
    <w:name w:val="Grid Table 6 Colorful - Accent 4"/>
    <w:basedOn w:val="9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46">
    <w:name w:val="Grid Table 6 Colorful - Accent 5"/>
    <w:basedOn w:val="9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47">
    <w:name w:val="Grid Table 6 Colorful - Accent 6"/>
    <w:basedOn w:val="9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48">
    <w:name w:val="Grid Table 7 Colorful"/>
    <w:basedOn w:val="9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9">
    <w:name w:val="Grid Table 7 Colorful - Accent 1"/>
    <w:basedOn w:val="9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0">
    <w:name w:val="Grid Table 7 Colorful - Accent 2"/>
    <w:basedOn w:val="9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1">
    <w:name w:val="Grid Table 7 Colorful - Accent 3"/>
    <w:basedOn w:val="9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2">
    <w:name w:val="Grid Table 7 Colorful - Accent 4"/>
    <w:basedOn w:val="9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3">
    <w:name w:val="Grid Table 7 Colorful - Accent 5"/>
    <w:basedOn w:val="9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4">
    <w:name w:val="Grid Table 7 Colorful - Accent 6"/>
    <w:basedOn w:val="9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5">
    <w:name w:val="List Table 1 Light"/>
    <w:basedOn w:val="9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6">
    <w:name w:val="List Table 1 Light - Accent 1"/>
    <w:basedOn w:val="9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7">
    <w:name w:val="List Table 1 Light - Accent 2"/>
    <w:basedOn w:val="9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8">
    <w:name w:val="List Table 1 Light - Accent 3"/>
    <w:basedOn w:val="9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9">
    <w:name w:val="List Table 1 Light - Accent 4"/>
    <w:basedOn w:val="9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0">
    <w:name w:val="List Table 1 Light - Accent 5"/>
    <w:basedOn w:val="9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1">
    <w:name w:val="List Table 1 Light - Accent 6"/>
    <w:basedOn w:val="9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2">
    <w:name w:val="List Table 2"/>
    <w:basedOn w:val="9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63">
    <w:name w:val="List Table 2 - Accent 1"/>
    <w:basedOn w:val="9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64">
    <w:name w:val="List Table 2 - Accent 2"/>
    <w:basedOn w:val="9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65">
    <w:name w:val="List Table 2 - Accent 3"/>
    <w:basedOn w:val="9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66">
    <w:name w:val="List Table 2 - Accent 4"/>
    <w:basedOn w:val="9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67">
    <w:name w:val="List Table 2 - Accent 5"/>
    <w:basedOn w:val="9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68">
    <w:name w:val="List Table 2 - Accent 6"/>
    <w:basedOn w:val="9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69">
    <w:name w:val="List Table 3"/>
    <w:basedOn w:val="9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0">
    <w:name w:val="List Table 3 - Accent 1"/>
    <w:basedOn w:val="9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1">
    <w:name w:val="List Table 3 - Accent 2"/>
    <w:basedOn w:val="9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2">
    <w:name w:val="List Table 3 - Accent 3"/>
    <w:basedOn w:val="9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3">
    <w:name w:val="List Table 3 - Accent 4"/>
    <w:basedOn w:val="9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4">
    <w:name w:val="List Table 3 - Accent 5"/>
    <w:basedOn w:val="9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5">
    <w:name w:val="List Table 3 - Accent 6"/>
    <w:basedOn w:val="9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6">
    <w:name w:val="List Table 4"/>
    <w:basedOn w:val="9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7">
    <w:name w:val="List Table 4 - Accent 1"/>
    <w:basedOn w:val="9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8">
    <w:name w:val="List Table 4 - Accent 2"/>
    <w:basedOn w:val="9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9">
    <w:name w:val="List Table 4 - Accent 3"/>
    <w:basedOn w:val="9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0">
    <w:name w:val="List Table 4 - Accent 4"/>
    <w:basedOn w:val="9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1">
    <w:name w:val="List Table 4 - Accent 5"/>
    <w:basedOn w:val="9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2">
    <w:name w:val="List Table 4 - Accent 6"/>
    <w:basedOn w:val="9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3">
    <w:name w:val="List Table 5 Dark"/>
    <w:basedOn w:val="9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4">
    <w:name w:val="List Table 5 Dark - Accent 1"/>
    <w:basedOn w:val="9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5">
    <w:name w:val="List Table 5 Dark - Accent 2"/>
    <w:basedOn w:val="9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6">
    <w:name w:val="List Table 5 Dark - Accent 3"/>
    <w:basedOn w:val="9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7">
    <w:name w:val="List Table 5 Dark - Accent 4"/>
    <w:basedOn w:val="9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8">
    <w:name w:val="List Table 5 Dark - Accent 5"/>
    <w:basedOn w:val="9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9">
    <w:name w:val="List Table 5 Dark - Accent 6"/>
    <w:basedOn w:val="9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0">
    <w:name w:val="List Table 6 Colorful"/>
    <w:basedOn w:val="9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91">
    <w:name w:val="List Table 6 Colorful - Accent 1"/>
    <w:basedOn w:val="9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92">
    <w:name w:val="List Table 6 Colorful - Accent 2"/>
    <w:basedOn w:val="9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93">
    <w:name w:val="List Table 6 Colorful - Accent 3"/>
    <w:basedOn w:val="9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94">
    <w:name w:val="List Table 6 Colorful - Accent 4"/>
    <w:basedOn w:val="9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95">
    <w:name w:val="List Table 6 Colorful - Accent 5"/>
    <w:basedOn w:val="9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96">
    <w:name w:val="List Table 6 Colorful - Accent 6"/>
    <w:basedOn w:val="9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97">
    <w:name w:val="List Table 7 Colorful"/>
    <w:basedOn w:val="9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98">
    <w:name w:val="List Table 7 Colorful - Accent 1"/>
    <w:basedOn w:val="9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99">
    <w:name w:val="List Table 7 Colorful - Accent 2"/>
    <w:basedOn w:val="9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900">
    <w:name w:val="List Table 7 Colorful - Accent 3"/>
    <w:basedOn w:val="9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901">
    <w:name w:val="List Table 7 Colorful - Accent 4"/>
    <w:basedOn w:val="9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902">
    <w:name w:val="List Table 7 Colorful - Accent 5"/>
    <w:basedOn w:val="9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903">
    <w:name w:val="List Table 7 Colorful - Accent 6"/>
    <w:basedOn w:val="9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904">
    <w:name w:val="Lined - Accent"/>
    <w:basedOn w:val="9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05">
    <w:name w:val="Lined - Accent 1"/>
    <w:basedOn w:val="9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906">
    <w:name w:val="Lined - Accent 2"/>
    <w:basedOn w:val="9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907">
    <w:name w:val="Lined - Accent 3"/>
    <w:basedOn w:val="9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908">
    <w:name w:val="Lined - Accent 4"/>
    <w:basedOn w:val="9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909">
    <w:name w:val="Lined - Accent 5"/>
    <w:basedOn w:val="9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910">
    <w:name w:val="Lined - Accent 6"/>
    <w:basedOn w:val="9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911">
    <w:name w:val="Bordered &amp; Lined - Accent"/>
    <w:basedOn w:val="9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12">
    <w:name w:val="Bordered &amp; Lined - Accent 1"/>
    <w:basedOn w:val="9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913">
    <w:name w:val="Bordered &amp; Lined - Accent 2"/>
    <w:basedOn w:val="9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914">
    <w:name w:val="Bordered &amp; Lined - Accent 3"/>
    <w:basedOn w:val="9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915">
    <w:name w:val="Bordered &amp; Lined - Accent 4"/>
    <w:basedOn w:val="9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916">
    <w:name w:val="Bordered &amp; Lined - Accent 5"/>
    <w:basedOn w:val="9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917">
    <w:name w:val="Bordered &amp; Lined - Accent 6"/>
    <w:basedOn w:val="9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918">
    <w:name w:val="Bordered"/>
    <w:basedOn w:val="9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919">
    <w:name w:val="Bordered - Accent 1"/>
    <w:basedOn w:val="9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920">
    <w:name w:val="Bordered - Accent 2"/>
    <w:basedOn w:val="9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921">
    <w:name w:val="Bordered - Accent 3"/>
    <w:basedOn w:val="9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922">
    <w:name w:val="Bordered - Accent 4"/>
    <w:basedOn w:val="9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923">
    <w:name w:val="Bordered - Accent 5"/>
    <w:basedOn w:val="9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924">
    <w:name w:val="Bordered - Accent 6"/>
    <w:basedOn w:val="9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925">
    <w:name w:val="footnote text"/>
    <w:basedOn w:val="942"/>
    <w:link w:val="926"/>
    <w:uiPriority w:val="99"/>
    <w:semiHidden/>
    <w:unhideWhenUsed/>
    <w:pPr>
      <w:spacing w:after="40" w:line="240" w:lineRule="auto"/>
    </w:pPr>
    <w:rPr>
      <w:sz w:val="18"/>
    </w:rPr>
  </w:style>
  <w:style w:type="character" w:styleId="926">
    <w:name w:val="Footnote Text Char"/>
    <w:link w:val="925"/>
    <w:uiPriority w:val="99"/>
    <w:rPr>
      <w:sz w:val="18"/>
    </w:rPr>
  </w:style>
  <w:style w:type="character" w:styleId="927">
    <w:name w:val="footnote reference"/>
    <w:basedOn w:val="952"/>
    <w:uiPriority w:val="99"/>
    <w:unhideWhenUsed/>
    <w:rPr>
      <w:vertAlign w:val="superscript"/>
    </w:rPr>
  </w:style>
  <w:style w:type="paragraph" w:styleId="928">
    <w:name w:val="endnote text"/>
    <w:basedOn w:val="942"/>
    <w:link w:val="929"/>
    <w:uiPriority w:val="99"/>
    <w:semiHidden/>
    <w:unhideWhenUsed/>
    <w:pPr>
      <w:spacing w:after="0" w:line="240" w:lineRule="auto"/>
    </w:pPr>
    <w:rPr>
      <w:sz w:val="20"/>
    </w:rPr>
  </w:style>
  <w:style w:type="character" w:styleId="929">
    <w:name w:val="Endnote Text Char"/>
    <w:link w:val="928"/>
    <w:uiPriority w:val="99"/>
    <w:rPr>
      <w:sz w:val="20"/>
    </w:rPr>
  </w:style>
  <w:style w:type="character" w:styleId="930">
    <w:name w:val="endnote reference"/>
    <w:basedOn w:val="952"/>
    <w:uiPriority w:val="99"/>
    <w:semiHidden/>
    <w:unhideWhenUsed/>
    <w:rPr>
      <w:vertAlign w:val="superscript"/>
    </w:rPr>
  </w:style>
  <w:style w:type="paragraph" w:styleId="931">
    <w:name w:val="toc 1"/>
    <w:basedOn w:val="942"/>
    <w:next w:val="942"/>
    <w:uiPriority w:val="39"/>
    <w:unhideWhenUsed/>
    <w:pPr>
      <w:ind w:left="0" w:right="0" w:firstLine="0"/>
      <w:spacing w:after="57"/>
    </w:pPr>
  </w:style>
  <w:style w:type="paragraph" w:styleId="932">
    <w:name w:val="toc 2"/>
    <w:basedOn w:val="942"/>
    <w:next w:val="942"/>
    <w:uiPriority w:val="39"/>
    <w:unhideWhenUsed/>
    <w:pPr>
      <w:ind w:left="283" w:right="0" w:firstLine="0"/>
      <w:spacing w:after="57"/>
    </w:pPr>
  </w:style>
  <w:style w:type="paragraph" w:styleId="933">
    <w:name w:val="toc 3"/>
    <w:basedOn w:val="942"/>
    <w:next w:val="942"/>
    <w:uiPriority w:val="39"/>
    <w:unhideWhenUsed/>
    <w:pPr>
      <w:ind w:left="567" w:right="0" w:firstLine="0"/>
      <w:spacing w:after="57"/>
    </w:pPr>
  </w:style>
  <w:style w:type="paragraph" w:styleId="934">
    <w:name w:val="toc 4"/>
    <w:basedOn w:val="942"/>
    <w:next w:val="942"/>
    <w:uiPriority w:val="39"/>
    <w:unhideWhenUsed/>
    <w:pPr>
      <w:ind w:left="850" w:right="0" w:firstLine="0"/>
      <w:spacing w:after="57"/>
    </w:pPr>
  </w:style>
  <w:style w:type="paragraph" w:styleId="935">
    <w:name w:val="toc 5"/>
    <w:basedOn w:val="942"/>
    <w:next w:val="942"/>
    <w:uiPriority w:val="39"/>
    <w:unhideWhenUsed/>
    <w:pPr>
      <w:ind w:left="1134" w:right="0" w:firstLine="0"/>
      <w:spacing w:after="57"/>
    </w:pPr>
  </w:style>
  <w:style w:type="paragraph" w:styleId="936">
    <w:name w:val="toc 6"/>
    <w:basedOn w:val="942"/>
    <w:next w:val="942"/>
    <w:uiPriority w:val="39"/>
    <w:unhideWhenUsed/>
    <w:pPr>
      <w:ind w:left="1417" w:right="0" w:firstLine="0"/>
      <w:spacing w:after="57"/>
    </w:pPr>
  </w:style>
  <w:style w:type="paragraph" w:styleId="937">
    <w:name w:val="toc 7"/>
    <w:basedOn w:val="942"/>
    <w:next w:val="942"/>
    <w:uiPriority w:val="39"/>
    <w:unhideWhenUsed/>
    <w:pPr>
      <w:ind w:left="1701" w:right="0" w:firstLine="0"/>
      <w:spacing w:after="57"/>
    </w:pPr>
  </w:style>
  <w:style w:type="paragraph" w:styleId="938">
    <w:name w:val="toc 8"/>
    <w:basedOn w:val="942"/>
    <w:next w:val="942"/>
    <w:uiPriority w:val="39"/>
    <w:unhideWhenUsed/>
    <w:pPr>
      <w:ind w:left="1984" w:right="0" w:firstLine="0"/>
      <w:spacing w:after="57"/>
    </w:pPr>
  </w:style>
  <w:style w:type="paragraph" w:styleId="939">
    <w:name w:val="toc 9"/>
    <w:basedOn w:val="942"/>
    <w:next w:val="942"/>
    <w:uiPriority w:val="39"/>
    <w:unhideWhenUsed/>
    <w:pPr>
      <w:ind w:left="2268" w:right="0" w:firstLine="0"/>
      <w:spacing w:after="57"/>
    </w:pPr>
  </w:style>
  <w:style w:type="paragraph" w:styleId="940">
    <w:name w:val="TOC Heading"/>
    <w:uiPriority w:val="39"/>
    <w:unhideWhenUsed/>
  </w:style>
  <w:style w:type="paragraph" w:styleId="941">
    <w:name w:val="table of figures"/>
    <w:basedOn w:val="942"/>
    <w:next w:val="942"/>
    <w:uiPriority w:val="99"/>
    <w:unhideWhenUsed/>
    <w:pPr>
      <w:spacing w:after="0" w:afterAutospacing="0"/>
    </w:pPr>
  </w:style>
  <w:style w:type="paragraph" w:styleId="942" w:default="1">
    <w:name w:val="Normal"/>
    <w:qFormat/>
  </w:style>
  <w:style w:type="paragraph" w:styleId="943">
    <w:name w:val="Heading 1"/>
    <w:basedOn w:val="942"/>
    <w:next w:val="942"/>
    <w:qFormat/>
    <w:pPr>
      <w:numPr>
        <w:ilvl w:val="0"/>
        <w:numId w:val="22"/>
      </w:numPr>
      <w:jc w:val="center"/>
      <w:keepNext/>
      <w:outlineLvl w:val="0"/>
    </w:pPr>
    <w:rPr>
      <w:sz w:val="24"/>
    </w:rPr>
  </w:style>
  <w:style w:type="paragraph" w:styleId="944">
    <w:name w:val="Heading 2"/>
    <w:basedOn w:val="942"/>
    <w:next w:val="942"/>
    <w:qFormat/>
    <w:pPr>
      <w:numPr>
        <w:ilvl w:val="1"/>
        <w:numId w:val="22"/>
      </w:num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945">
    <w:name w:val="Heading 3"/>
    <w:basedOn w:val="942"/>
    <w:next w:val="942"/>
    <w:qFormat/>
    <w:pPr>
      <w:numPr>
        <w:ilvl w:val="2"/>
        <w:numId w:val="22"/>
      </w:num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946">
    <w:name w:val="Heading 4"/>
    <w:basedOn w:val="942"/>
    <w:next w:val="942"/>
    <w:qFormat/>
    <w:pPr>
      <w:numPr>
        <w:ilvl w:val="3"/>
        <w:numId w:val="22"/>
      </w:numPr>
      <w:keepNext/>
      <w:spacing w:before="240" w:after="60"/>
      <w:outlineLvl w:val="3"/>
    </w:pPr>
    <w:rPr>
      <w:b/>
      <w:bCs/>
      <w:sz w:val="28"/>
      <w:szCs w:val="28"/>
    </w:rPr>
  </w:style>
  <w:style w:type="paragraph" w:styleId="947">
    <w:name w:val="Heading 5"/>
    <w:basedOn w:val="942"/>
    <w:next w:val="942"/>
    <w:qFormat/>
    <w:pPr>
      <w:numPr>
        <w:ilvl w:val="4"/>
        <w:numId w:val="2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948">
    <w:name w:val="Heading 6"/>
    <w:basedOn w:val="942"/>
    <w:next w:val="942"/>
    <w:qFormat/>
    <w:pPr>
      <w:numPr>
        <w:ilvl w:val="5"/>
        <w:numId w:val="22"/>
      </w:numPr>
      <w:spacing w:before="240" w:after="60"/>
      <w:outlineLvl w:val="5"/>
    </w:pPr>
    <w:rPr>
      <w:b/>
      <w:bCs/>
      <w:sz w:val="22"/>
      <w:szCs w:val="22"/>
    </w:rPr>
  </w:style>
  <w:style w:type="paragraph" w:styleId="949">
    <w:name w:val="Heading 7"/>
    <w:basedOn w:val="942"/>
    <w:next w:val="942"/>
    <w:qFormat/>
    <w:pPr>
      <w:numPr>
        <w:ilvl w:val="6"/>
        <w:numId w:val="22"/>
      </w:numPr>
      <w:spacing w:before="240" w:after="60"/>
      <w:outlineLvl w:val="6"/>
    </w:pPr>
    <w:rPr>
      <w:sz w:val="24"/>
      <w:szCs w:val="24"/>
    </w:rPr>
  </w:style>
  <w:style w:type="paragraph" w:styleId="950">
    <w:name w:val="Heading 8"/>
    <w:basedOn w:val="942"/>
    <w:next w:val="942"/>
    <w:qFormat/>
    <w:pPr>
      <w:numPr>
        <w:ilvl w:val="7"/>
        <w:numId w:val="22"/>
      </w:numPr>
      <w:spacing w:before="240" w:after="60"/>
      <w:outlineLvl w:val="7"/>
    </w:pPr>
    <w:rPr>
      <w:i/>
      <w:iCs/>
      <w:sz w:val="24"/>
      <w:szCs w:val="24"/>
    </w:rPr>
  </w:style>
  <w:style w:type="paragraph" w:styleId="951">
    <w:name w:val="Heading 9"/>
    <w:basedOn w:val="942"/>
    <w:next w:val="942"/>
    <w:qFormat/>
    <w:pPr>
      <w:numPr>
        <w:ilvl w:val="8"/>
        <w:numId w:val="2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styleId="952" w:default="1">
    <w:name w:val="Default Paragraph Font"/>
    <w:uiPriority w:val="1"/>
    <w:semiHidden/>
    <w:unhideWhenUsed/>
  </w:style>
  <w:style w:type="table" w:styleId="95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954" w:default="1">
    <w:name w:val="No List"/>
    <w:uiPriority w:val="99"/>
    <w:semiHidden/>
    <w:unhideWhenUsed/>
  </w:style>
  <w:style w:type="paragraph" w:styleId="955">
    <w:name w:val="Title"/>
    <w:basedOn w:val="942"/>
    <w:qFormat/>
    <w:pPr>
      <w:jc w:val="center"/>
      <w:spacing w:line="240" w:lineRule="atLeast"/>
    </w:pPr>
    <w:rPr>
      <w:b/>
      <w:sz w:val="24"/>
    </w:rPr>
  </w:style>
  <w:style w:type="paragraph" w:styleId="956">
    <w:name w:val="Body Text Indent 2"/>
    <w:basedOn w:val="942"/>
    <w:link w:val="963"/>
    <w:pPr>
      <w:ind w:firstLine="740"/>
      <w:jc w:val="both"/>
      <w:spacing w:line="240" w:lineRule="atLeast"/>
    </w:pPr>
    <w:rPr>
      <w:sz w:val="24"/>
    </w:rPr>
  </w:style>
  <w:style w:type="paragraph" w:styleId="957">
    <w:name w:val="Body Text Indent 3"/>
    <w:basedOn w:val="942"/>
    <w:pPr>
      <w:ind w:firstLine="700"/>
      <w:jc w:val="both"/>
      <w:spacing w:line="280" w:lineRule="atLeast"/>
    </w:pPr>
    <w:rPr>
      <w:sz w:val="24"/>
    </w:rPr>
  </w:style>
  <w:style w:type="paragraph" w:styleId="958">
    <w:name w:val="Body Text"/>
    <w:basedOn w:val="942"/>
    <w:link w:val="964"/>
    <w:pPr>
      <w:jc w:val="both"/>
    </w:pPr>
    <w:rPr>
      <w:sz w:val="24"/>
    </w:rPr>
  </w:style>
  <w:style w:type="paragraph" w:styleId="959">
    <w:name w:val="Body Text 2"/>
    <w:basedOn w:val="942"/>
    <w:pPr>
      <w:jc w:val="center"/>
      <w:spacing w:line="240" w:lineRule="atLeast"/>
    </w:pPr>
    <w:rPr>
      <w:b/>
    </w:rPr>
  </w:style>
  <w:style w:type="paragraph" w:styleId="960">
    <w:name w:val="Body Text Indent"/>
    <w:basedOn w:val="942"/>
    <w:pPr>
      <w:ind w:firstLine="567"/>
      <w:jc w:val="both"/>
    </w:pPr>
    <w:rPr>
      <w:sz w:val="28"/>
    </w:rPr>
  </w:style>
  <w:style w:type="paragraph" w:styleId="961">
    <w:name w:val="Balloon Text"/>
    <w:basedOn w:val="942"/>
    <w:semiHidden/>
    <w:rPr>
      <w:rFonts w:ascii="Tahoma" w:hAnsi="Tahoma" w:cs="Tahoma"/>
      <w:sz w:val="16"/>
      <w:szCs w:val="16"/>
    </w:rPr>
  </w:style>
  <w:style w:type="paragraph" w:styleId="962">
    <w:name w:val="Normal (Web)"/>
    <w:basedOn w:val="942"/>
    <w:pPr>
      <w:spacing w:before="100" w:beforeAutospacing="1" w:after="100" w:afterAutospacing="1"/>
    </w:pPr>
    <w:rPr>
      <w:sz w:val="24"/>
      <w:szCs w:val="24"/>
    </w:rPr>
  </w:style>
  <w:style w:type="character" w:styleId="963" w:customStyle="1">
    <w:name w:val="Основной текст с отступом 2 Знак"/>
    <w:link w:val="956"/>
    <w:rPr>
      <w:sz w:val="24"/>
    </w:rPr>
  </w:style>
  <w:style w:type="character" w:styleId="964" w:customStyle="1">
    <w:name w:val="Основной текст Знак"/>
    <w:link w:val="958"/>
    <w:rPr>
      <w:sz w:val="24"/>
    </w:rPr>
  </w:style>
  <w:style w:type="paragraph" w:styleId="965" w:customStyle="1">
    <w:name w:val="Default"/>
    <w:rPr>
      <w:rFonts w:ascii="Calibri" w:hAnsi="Calibri" w:cs="Calibri"/>
      <w:color w:val="000000"/>
      <w:sz w:val="24"/>
      <w:szCs w:val="24"/>
    </w:rPr>
  </w:style>
  <w:style w:type="paragraph" w:styleId="966" w:customStyle="1">
    <w:name w:val="ConsPlusNormal"/>
    <w:pPr>
      <w:widowControl w:val="off"/>
    </w:pPr>
    <w:rPr>
      <w:rFonts w:ascii="Arial" w:hAnsi="Arial" w:cs="Arial" w:eastAsiaTheme="minorEastAsia"/>
    </w:rPr>
  </w:style>
  <w:style w:type="paragraph" w:styleId="967" w:customStyle="1">
    <w:name w:val="ConsPlusTitle"/>
    <w:uiPriority w:val="99"/>
    <w:pPr>
      <w:widowControl w:val="off"/>
    </w:pPr>
    <w:rPr>
      <w:rFonts w:ascii="Arial" w:hAnsi="Arial" w:cs="Arial" w:eastAsiaTheme="minorEastAsia"/>
      <w:b/>
      <w:bCs/>
      <w:sz w:val="16"/>
      <w:szCs w:val="16"/>
    </w:rPr>
  </w:style>
  <w:style w:type="table" w:styleId="968">
    <w:name w:val="Table Grid"/>
    <w:basedOn w:val="953"/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969">
    <w:name w:val="List Paragraph"/>
    <w:basedOn w:val="942"/>
    <w:uiPriority w:val="34"/>
    <w:qFormat/>
    <w:pPr>
      <w:contextualSpacing/>
      <w:ind w:left="720"/>
    </w:pPr>
  </w:style>
  <w:style w:type="character" w:styleId="970">
    <w:name w:val="Hyperlink"/>
    <w:uiPriority w:val="99"/>
    <w:unhideWhenUsed/>
    <w:rPr>
      <w:color w:val="0000ff"/>
      <w:u w:val="single"/>
    </w:rPr>
  </w:style>
  <w:style w:type="table" w:styleId="971" w:customStyle="1">
    <w:name w:val="Сетка таблицы1"/>
    <w:basedOn w:val="953"/>
    <w:next w:val="968"/>
    <w:uiPriority w:val="59"/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hyperlink" Target="garantF1://93369.125221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2CA714-E0FD-45E7-B90F-86AB7A0DB6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SPecialiST RePack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Сообщение МПТР РОССИИ</dc:title>
  <dc:creator>Ul_orfkk_233_2</dc:creator>
  <cp:lastModifiedBy>mol-364@JSRK.RU</cp:lastModifiedBy>
  <cp:revision>11</cp:revision>
  <dcterms:created xsi:type="dcterms:W3CDTF">2025-06-25T12:24:00Z</dcterms:created>
  <dcterms:modified xsi:type="dcterms:W3CDTF">2026-02-25T13:43:18Z</dcterms:modified>
</cp:coreProperties>
</file>