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 xml:space="preserve">И МАССОВЫХ КОММУНИКАЦИЙ</w:t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результатах конкурс</w:t>
      </w:r>
      <w:r>
        <w:rPr>
          <w:b/>
          <w:bCs/>
          <w:sz w:val="28"/>
          <w:szCs w:val="28"/>
        </w:rPr>
        <w:t xml:space="preserve">ов</w:t>
      </w:r>
      <w:r>
        <w:rPr>
          <w:b/>
          <w:bCs/>
          <w:sz w:val="28"/>
          <w:szCs w:val="28"/>
        </w:rPr>
        <w:t xml:space="preserve"> на получение права на осуществление спутникового вещания с использованием </w:t>
      </w:r>
      <w:r>
        <w:rPr>
          <w:b/>
          <w:bCs/>
          <w:sz w:val="28"/>
          <w:szCs w:val="28"/>
        </w:rPr>
        <w:t xml:space="preserve">орбитально</w:t>
      </w:r>
      <w:r>
        <w:rPr>
          <w:b/>
          <w:bCs/>
          <w:sz w:val="28"/>
          <w:szCs w:val="28"/>
        </w:rPr>
        <w:t xml:space="preserve">-частотного ресурса и соответствующих полос радиочастот, выделенных для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целей телевизионного и радиовещания от 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ноября</w:t>
      </w:r>
      <w:r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 xml:space="preserve">25 года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697"/>
        <w:jc w:val="both"/>
        <w:rPr>
          <w:bCs/>
          <w:sz w:val="28"/>
          <w:szCs w:val="28"/>
        </w:rPr>
      </w:pPr>
      <w:r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>
        <w:rPr>
          <w:sz w:val="28"/>
        </w:rPr>
        <w:t xml:space="preserve">с </w:t>
      </w:r>
      <w:hyperlink r:id="rId9" w:tooltip="garantF1://93369.125221" w:history="1">
        <w:r>
          <w:rPr>
            <w:sz w:val="28"/>
          </w:rPr>
          <w:t xml:space="preserve">пунктами </w:t>
        </w:r>
        <w:r>
          <w:rPr>
            <w:sz w:val="28"/>
          </w:rPr>
          <w:br/>
        </w:r>
        <w:r>
          <w:rPr>
            <w:sz w:val="28"/>
          </w:rPr>
          <w:t xml:space="preserve">5.3</w:t>
        </w:r>
        <w:r>
          <w:rPr>
            <w:sz w:val="28"/>
            <w:vertAlign w:val="superscript"/>
          </w:rPr>
          <w:t xml:space="preserve">1</w:t>
        </w:r>
        <w:r>
          <w:rPr>
            <w:sz w:val="28"/>
          </w:rPr>
          <w:t xml:space="preserve"> и 5.3</w:t>
        </w:r>
        <w:r>
          <w:rPr>
            <w:sz w:val="28"/>
            <w:vertAlign w:val="superscript"/>
          </w:rPr>
          <w:t xml:space="preserve">2</w:t>
        </w:r>
        <w:r>
          <w:rPr>
            <w:sz w:val="28"/>
          </w:rPr>
          <w:t xml:space="preserve"> </w:t>
        </w:r>
      </w:hyperlink>
      <w:r>
        <w:rPr>
          <w:sz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>
        <w:rPr>
          <w:sz w:val="28"/>
        </w:rPr>
        <w:t xml:space="preserve"> и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26 января 2012 г. № 25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выделении конкретных радиочастот 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вещания с использованием ограниченно</w:t>
      </w:r>
      <w:bookmarkStart w:id="0" w:name="_GoBack"/>
      <w:r/>
      <w:bookmarkEnd w:id="0"/>
      <w:r>
        <w:rPr>
          <w:bCs/>
          <w:sz w:val="28"/>
          <w:szCs w:val="28"/>
        </w:rPr>
        <w:t xml:space="preserve">го радиочастотного ресурса (наземного эфирного вещания, спутникового вещания)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сообщает следующее.</w:t>
      </w:r>
      <w:r>
        <w:rPr>
          <w:bCs/>
          <w:sz w:val="28"/>
          <w:szCs w:val="28"/>
        </w:rPr>
      </w:r>
    </w:p>
    <w:p>
      <w:pPr>
        <w:ind w:firstLine="697"/>
        <w:jc w:val="both"/>
        <w:spacing w:line="26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26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ноября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 года</w:t>
      </w:r>
      <w:r>
        <w:rPr>
          <w:bCs/>
          <w:sz w:val="28"/>
          <w:szCs w:val="28"/>
        </w:rPr>
        <w:t xml:space="preserve"> состоялось заседание Федеральной конкурсной комиссии по телерадиовещанию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ind w:firstLine="697"/>
        <w:jc w:val="both"/>
        <w:spacing w:line="26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 xml:space="preserve">проведения конкурс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получение </w:t>
      </w:r>
      <w:r>
        <w:rPr>
          <w:bCs/>
          <w:sz w:val="28"/>
          <w:szCs w:val="28"/>
        </w:rPr>
        <w:t xml:space="preserve">права на осуществление спутникового вещания с использованием радиочастот, выделенных для целей телевизионного и радиовещания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онкурс)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17327,48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11727,48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17404,2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11 804,2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05)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17979,6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12379,6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35)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12417,96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37)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18056,32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ч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астота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линии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ИСЗ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Земля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 12456,32 </w:t>
      </w:r>
      <w:r>
        <w:rPr>
          <w:rFonts w:hint="eastAsia" w:ascii="Times New Roman" w:hAnsi="Times New Roman" w:eastAsia="Times New Roman" w:cs="Times New Roman"/>
          <w:bCs/>
          <w:sz w:val="28"/>
          <w:szCs w:val="28"/>
        </w:rPr>
        <w:t xml:space="preserve">МГц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(транспондер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TV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39)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(ЭИИМ: 52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дБВт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8"/>
          <w:highlight w:val="none"/>
        </w:rPr>
      </w:r>
      <w:r>
        <w:rPr>
          <w:rFonts w:ascii="Times New Roman" w:hAnsi="Times New Roman" w:cs="Times New Roman"/>
          <w:bCs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земными станциями спутниковой связи, работающими через бортовые ретрансляторы космического аппарата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«Экспресс-АТ1»,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 использованием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пяти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транспондеров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точкой стояния на геостационарной орбите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градусов восточной долготы; 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 вещания – «ежедневно, круглосуточно»; концепция формирования и распространения пакета телеканалов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радиоканалов – «свободная»; зона покрытия транспондеров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(№№ TV 01, TV 05, TV 35, TV 37, TV 39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субъекты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Еврейской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Камчатского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Магаданской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Приморского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Якутия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Сахалинской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Хабаровского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Чукотского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автономного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округа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  <w:bCs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bCs/>
          <w:szCs w:val="28"/>
        </w:rPr>
      </w:r>
      <w:r>
        <w:rPr>
          <w:sz w:val="28"/>
          <w:szCs w:val="28"/>
        </w:rPr>
        <w:t xml:space="preserve">победителем признано НАО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Национальная спутниковая компания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23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01.0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9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.202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Получатель: Межрегиональное операционное УФК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Роскомнадзор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л/с 05951000960)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ИНН 7705846236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КПП 770501001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БИК 024501901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единого казначейского счета  40102810045370000002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казначейского счета 03212643000000019502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Назначение платежа: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98% единовременной платы,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предмет конкурса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/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ОБРАЩАЕМ ВНИМАНИЕ!!!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заполнении платежного поручения обязательно заполнять дополнительный код в поле 22 - 0006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15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представляет организатору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 рабочих дней со дня перечисления денежных средств.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6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</w:t>
      </w:r>
      <w:r>
        <w:rPr>
          <w:bCs/>
          <w:sz w:val="28"/>
          <w:szCs w:val="28"/>
          <w:lang w:val="ru-RU" w:eastAsia="ru-RU"/>
        </w:rPr>
        <w:t xml:space="preserve">а</w:t>
      </w:r>
      <w:r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онкурсе, либо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онкурса.</w:t>
      </w:r>
      <w:r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716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>
        <w:rPr>
          <w:bCs/>
          <w:sz w:val="28"/>
          <w:szCs w:val="28"/>
          <w:lang w:val="ru-RU" w:eastAsia="ru-RU"/>
        </w:rPr>
        <w:br/>
      </w:r>
      <w:r>
        <w:rPr>
          <w:bCs/>
          <w:sz w:val="28"/>
          <w:szCs w:val="28"/>
          <w:lang w:val="ru-RU" w:eastAsia="ru-RU"/>
        </w:rPr>
        <w:t xml:space="preserve">по телерадиовещанию об итогах конкурса.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725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Итоги конкурса аннулируются 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случаях, установленных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пунктом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рации от 26 января 2012 г. № 25: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724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anchor="Par140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724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случае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неперечисления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anchor="Par123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подпункте 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«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а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»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пункта 23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Российской Федерации от 26 января 2012 г. № 25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724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аннулировании итогов конкурса победитель конкурса утрачивает внесенный им конкурсный взнос.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724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716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Справки по телефонам: </w:t>
      </w:r>
      <w:r>
        <w:rPr>
          <w:b/>
          <w:sz w:val="28"/>
          <w:szCs w:val="28"/>
          <w:u w:val="single"/>
        </w:rPr>
        <w:t xml:space="preserve">(495) 587-40-66; (495) 587-40-81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723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23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993" w:right="1134" w:bottom="82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37">
    <w:multiLevelType w:val="hybridMultilevel"/>
    <w:lvl w:ilvl="0">
      <w:start w:val="1"/>
      <w:numFmt w:val="upperRoman"/>
      <w:pStyle w:val="701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702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pStyle w:val="703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704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705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706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707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708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709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"/>
  </w:num>
  <w:num w:numId="5">
    <w:abstractNumId w:val="29"/>
  </w:num>
  <w:num w:numId="6">
    <w:abstractNumId w:val="9"/>
  </w:num>
  <w:num w:numId="7">
    <w:abstractNumId w:val="34"/>
  </w:num>
  <w:num w:numId="8">
    <w:abstractNumId w:val="15"/>
  </w:num>
  <w:num w:numId="9">
    <w:abstractNumId w:val="2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6"/>
  </w:num>
  <w:num w:numId="13">
    <w:abstractNumId w:val="16"/>
  </w:num>
  <w:num w:numId="14">
    <w:abstractNumId w:val="18"/>
  </w:num>
  <w:num w:numId="15">
    <w:abstractNumId w:val="20"/>
  </w:num>
  <w:num w:numId="16">
    <w:abstractNumId w:val="39"/>
  </w:num>
  <w:num w:numId="17">
    <w:abstractNumId w:val="10"/>
  </w:num>
  <w:num w:numId="18">
    <w:abstractNumId w:val="19"/>
  </w:num>
  <w:num w:numId="19">
    <w:abstractNumId w:val="5"/>
  </w:num>
  <w:num w:numId="20">
    <w:abstractNumId w:val="17"/>
  </w:num>
  <w:num w:numId="21">
    <w:abstractNumId w:val="27"/>
  </w:num>
  <w:num w:numId="22">
    <w:abstractNumId w:val="37"/>
  </w:num>
  <w:num w:numId="23">
    <w:abstractNumId w:val="23"/>
  </w:num>
  <w:num w:numId="24">
    <w:abstractNumId w:val="26"/>
  </w:num>
  <w:num w:numId="25">
    <w:abstractNumId w:val="21"/>
  </w:num>
  <w:num w:numId="26">
    <w:abstractNumId w:val="36"/>
  </w:num>
  <w:num w:numId="27">
    <w:abstractNumId w:val="2"/>
  </w:num>
  <w:num w:numId="28">
    <w:abstractNumId w:val="7"/>
  </w:num>
  <w:num w:numId="29">
    <w:abstractNumId w:val="12"/>
  </w:num>
  <w:num w:numId="30">
    <w:abstractNumId w:val="22"/>
  </w:num>
  <w:num w:numId="31">
    <w:abstractNumId w:val="40"/>
  </w:num>
  <w:num w:numId="32">
    <w:abstractNumId w:val="31"/>
  </w:num>
  <w:num w:numId="33">
    <w:abstractNumId w:val="28"/>
  </w:num>
  <w:num w:numId="34">
    <w:abstractNumId w:val="8"/>
  </w:num>
  <w:num w:numId="35">
    <w:abstractNumId w:val="13"/>
  </w:num>
  <w:num w:numId="36">
    <w:abstractNumId w:val="30"/>
  </w:num>
  <w:num w:numId="37">
    <w:abstractNumId w:val="33"/>
  </w:num>
  <w:num w:numId="38">
    <w:abstractNumId w:val="38"/>
  </w:num>
  <w:num w:numId="39">
    <w:abstractNumId w:val="11"/>
  </w:num>
  <w:num w:numId="40">
    <w:abstractNumId w:val="3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0"/>
    <w:link w:val="70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0"/>
    <w:link w:val="713"/>
    <w:uiPriority w:val="10"/>
    <w:rPr>
      <w:sz w:val="48"/>
      <w:szCs w:val="48"/>
    </w:rPr>
  </w:style>
  <w:style w:type="paragraph" w:styleId="36">
    <w:name w:val="Subtitle"/>
    <w:basedOn w:val="700"/>
    <w:next w:val="7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0"/>
    <w:link w:val="3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0"/>
    <w:link w:val="42"/>
    <w:uiPriority w:val="99"/>
  </w:style>
  <w:style w:type="paragraph" w:styleId="44">
    <w:name w:val="Footer"/>
    <w:basedOn w:val="7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0"/>
    <w:link w:val="44"/>
    <w:uiPriority w:val="99"/>
  </w:style>
  <w:style w:type="paragraph" w:styleId="46">
    <w:name w:val="Caption"/>
    <w:basedOn w:val="700"/>
    <w:next w:val="70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0"/>
    <w:uiPriority w:val="99"/>
    <w:unhideWhenUsed/>
    <w:rPr>
      <w:vertAlign w:val="superscript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0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</w:style>
  <w:style w:type="paragraph" w:styleId="701">
    <w:name w:val="Heading 1"/>
    <w:basedOn w:val="700"/>
    <w:next w:val="700"/>
    <w:qFormat/>
    <w:pPr>
      <w:numPr>
        <w:ilvl w:val="0"/>
        <w:numId w:val="22"/>
      </w:numPr>
      <w:jc w:val="center"/>
      <w:keepNext/>
      <w:outlineLvl w:val="0"/>
    </w:pPr>
    <w:rPr>
      <w:sz w:val="24"/>
    </w:rPr>
  </w:style>
  <w:style w:type="paragraph" w:styleId="702">
    <w:name w:val="Heading 2"/>
    <w:basedOn w:val="700"/>
    <w:next w:val="700"/>
    <w:qFormat/>
    <w:pPr>
      <w:numPr>
        <w:ilvl w:val="1"/>
        <w:numId w:val="22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03">
    <w:name w:val="Heading 3"/>
    <w:basedOn w:val="700"/>
    <w:next w:val="700"/>
    <w:qFormat/>
    <w:pPr>
      <w:numPr>
        <w:ilvl w:val="2"/>
        <w:numId w:val="22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04">
    <w:name w:val="Heading 4"/>
    <w:basedOn w:val="700"/>
    <w:next w:val="700"/>
    <w:qFormat/>
    <w:pPr>
      <w:numPr>
        <w:ilvl w:val="3"/>
        <w:numId w:val="22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705">
    <w:name w:val="Heading 5"/>
    <w:basedOn w:val="700"/>
    <w:next w:val="700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6">
    <w:name w:val="Heading 6"/>
    <w:basedOn w:val="700"/>
    <w:next w:val="700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07">
    <w:name w:val="Heading 7"/>
    <w:basedOn w:val="700"/>
    <w:next w:val="700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708">
    <w:name w:val="Heading 8"/>
    <w:basedOn w:val="700"/>
    <w:next w:val="700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709">
    <w:name w:val="Heading 9"/>
    <w:basedOn w:val="700"/>
    <w:next w:val="700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paragraph" w:styleId="713">
    <w:name w:val="Title"/>
    <w:basedOn w:val="700"/>
    <w:qFormat/>
    <w:pPr>
      <w:jc w:val="center"/>
      <w:spacing w:line="240" w:lineRule="atLeast"/>
    </w:pPr>
    <w:rPr>
      <w:b/>
      <w:sz w:val="24"/>
    </w:rPr>
  </w:style>
  <w:style w:type="paragraph" w:styleId="714">
    <w:name w:val="Body Text Indent 2"/>
    <w:basedOn w:val="700"/>
    <w:link w:val="721"/>
    <w:pPr>
      <w:ind w:firstLine="740"/>
      <w:jc w:val="both"/>
      <w:spacing w:line="240" w:lineRule="atLeast"/>
    </w:pPr>
    <w:rPr>
      <w:sz w:val="24"/>
    </w:rPr>
  </w:style>
  <w:style w:type="paragraph" w:styleId="715">
    <w:name w:val="Body Text Indent 3"/>
    <w:basedOn w:val="700"/>
    <w:pPr>
      <w:ind w:firstLine="700"/>
      <w:jc w:val="both"/>
      <w:spacing w:line="280" w:lineRule="atLeast"/>
    </w:pPr>
    <w:rPr>
      <w:sz w:val="24"/>
    </w:rPr>
  </w:style>
  <w:style w:type="paragraph" w:styleId="716">
    <w:name w:val="Body Text"/>
    <w:basedOn w:val="700"/>
    <w:link w:val="722"/>
    <w:pPr>
      <w:jc w:val="both"/>
    </w:pPr>
    <w:rPr>
      <w:sz w:val="24"/>
    </w:rPr>
  </w:style>
  <w:style w:type="paragraph" w:styleId="717">
    <w:name w:val="Body Text 2"/>
    <w:basedOn w:val="700"/>
    <w:pPr>
      <w:jc w:val="center"/>
      <w:spacing w:line="240" w:lineRule="atLeast"/>
    </w:pPr>
    <w:rPr>
      <w:b/>
    </w:rPr>
  </w:style>
  <w:style w:type="paragraph" w:styleId="718">
    <w:name w:val="Body Text Indent"/>
    <w:basedOn w:val="700"/>
    <w:pPr>
      <w:ind w:firstLine="567"/>
      <w:jc w:val="both"/>
    </w:pPr>
    <w:rPr>
      <w:sz w:val="28"/>
    </w:rPr>
  </w:style>
  <w:style w:type="paragraph" w:styleId="719">
    <w:name w:val="Balloon Text"/>
    <w:basedOn w:val="700"/>
    <w:semiHidden/>
    <w:rPr>
      <w:rFonts w:ascii="Tahoma" w:hAnsi="Tahoma" w:cs="Tahoma"/>
      <w:sz w:val="16"/>
      <w:szCs w:val="16"/>
    </w:rPr>
  </w:style>
  <w:style w:type="paragraph" w:styleId="720">
    <w:name w:val="Normal (Web)"/>
    <w:basedOn w:val="700"/>
    <w:pPr>
      <w:spacing w:before="100" w:beforeAutospacing="1" w:after="100" w:afterAutospacing="1"/>
    </w:pPr>
    <w:rPr>
      <w:sz w:val="24"/>
      <w:szCs w:val="24"/>
    </w:rPr>
  </w:style>
  <w:style w:type="character" w:styleId="721" w:customStyle="1">
    <w:name w:val="Основной текст с отступом 2 Знак"/>
    <w:link w:val="714"/>
    <w:rPr>
      <w:sz w:val="24"/>
    </w:rPr>
  </w:style>
  <w:style w:type="character" w:styleId="722" w:customStyle="1">
    <w:name w:val="Основной текст Знак"/>
    <w:link w:val="716"/>
    <w:rPr>
      <w:sz w:val="24"/>
    </w:rPr>
  </w:style>
  <w:style w:type="paragraph" w:styleId="723" w:customStyle="1">
    <w:name w:val="Default"/>
    <w:rPr>
      <w:rFonts w:ascii="Calibri" w:hAnsi="Calibri" w:cs="Calibri"/>
      <w:color w:val="000000"/>
      <w:sz w:val="24"/>
      <w:szCs w:val="24"/>
    </w:rPr>
  </w:style>
  <w:style w:type="paragraph" w:styleId="724" w:customStyle="1">
    <w:name w:val="ConsPlusNormal"/>
    <w:pPr>
      <w:widowControl w:val="off"/>
    </w:pPr>
    <w:rPr>
      <w:rFonts w:ascii="Arial" w:hAnsi="Arial" w:cs="Arial" w:eastAsiaTheme="minorEastAsia"/>
    </w:rPr>
  </w:style>
  <w:style w:type="paragraph" w:styleId="725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garantF1://93369.125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mol-364@JSRK.RU</cp:lastModifiedBy>
  <cp:revision>6</cp:revision>
  <dcterms:created xsi:type="dcterms:W3CDTF">2021-04-28T11:23:00Z</dcterms:created>
  <dcterms:modified xsi:type="dcterms:W3CDTF">2025-11-26T14:11:04Z</dcterms:modified>
</cp:coreProperties>
</file>