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sdt>
      <w:sdtPr>
        <w:rPr>
          <w:lang w:val="en-US"/>
        </w:rPr>
        <w:tag w:val="decision1"/>
        <w:id w:val="2013105431"/>
        <w:placeholder>
          <w:docPart w:val="8910B3D1240E4D7D8DB2F5AAC955B1AB"/>
        </w:placeholder>
        <w:showingPlcHdr/>
      </w:sdtPr>
      <w:sdtEndPr/>
      <w:sdtContent>
        <w:p w:rsidR="004B48BF" w:rsidP="009F3350" w:rsidRDefault="009F3350">
          <w:pPr>
            <w:rPr>
              <w:lang w:val="en-US"/>
            </w:rPr>
          </w:pPr>
          <w:r>
            <w:rPr>
              <w:rStyle w:val="a7"/>
              <w:lang w:val="en-US"/>
            </w:rPr>
            <w:t xml:space="preserve">  </w:t>
          </w:r>
        </w:p>
      </w:sdtContent>
    </w:sdt>
    <w:sdt>
      <w:sdtPr>
        <w:rPr>
          <w:lang w:val="en-US"/>
        </w:rPr>
        <w:tag w:val="decision2"/>
        <w:id w:val="-1739162737"/>
        <w:placeholder>
          <w:docPart w:val="F9FF0EA4ECF04F1DB69A133363D25C01"/>
        </w:placeholder>
        <w:showingPlcHdr/>
      </w:sdtPr>
      <w:sdtEndPr/>
      <w:sdtContent>
        <w:p w:rsidR="009F3350" w:rsidP="009F3350" w:rsidRDefault="009F3350">
          <w:pPr>
            <w:rPr>
              <w:lang w:val="en-US"/>
            </w:rPr>
          </w:pPr>
          <w:r>
            <w:rPr>
              <w:rStyle w:val="a7"/>
              <w:lang w:val="en-US"/>
            </w:rPr>
            <w:t xml:space="preserve">  </w:t>
          </w:r>
        </w:p>
      </w:sdtContent>
    </w:sdt>
    <w:p w:rsidRPr="00020DAE" w:rsidR="005A588D" w:rsidP="005A588D" w:rsidRDefault="0061496C" w14:paraId="659dc0c" w14:textId="659dc0c">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Н03-11803</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"ЗАРИТНЕТ"</w:t>
            </w:r>
          </w:p>
          <w:p w:rsidRPr="00FF4C0C" w:rsidR="00FF4C0C" w:rsidP="00795F30" w:rsidRDefault="00FF4C0C">
            <w:pPr>
              <w:rPr>
                <w:sz w:val="20"/>
                <w:szCs w:val="20"/>
              </w:rPr>
            </w:pPr>
            <w:r>
              <w:rPr>
                <w:sz w:val="20"/>
                <w:szCs w:val="20"/>
              </w:rPr>
              <w:t>ООО "ЗАРИТНЕТ"</w:t>
            </w:r>
          </w:p>
          <w:p w:rsidRPr="001463F8" w:rsidR="00795F30" w:rsidP="00795F30" w:rsidRDefault="00FF4C0C">
            <w:pPr>
              <w:rPr>
                <w:sz w:val="20"/>
                <w:szCs w:val="20"/>
              </w:rPr>
            </w:pPr>
            <w:r w:rsidR="002F6FB3">
              <w:rPr>
                <w:sz w:val="20"/>
                <w:szCs w:val="20"/>
              </w:rPr>
              <w:t>ОГРН: 1193123008737</w:t>
            </w:r>
          </w:p>
          <w:p w:rsidRPr="001463F8" w:rsidR="00795F30" w:rsidP="00795F30" w:rsidRDefault="00FF4C0C">
            <w:pPr>
              <w:rPr>
                <w:sz w:val="20"/>
                <w:szCs w:val="20"/>
              </w:rPr>
            </w:pPr>
            <w:r w:rsidRPr="001463F8" w:rsidR="002F6FB3">
              <w:rPr>
                <w:sz w:val="20"/>
                <w:szCs w:val="20"/>
              </w:rPr>
              <w:t>ИНН: 3102044718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308501, БЕЛГОРОДСКАЯ ОБЛАСТЬ, БЕЛГОРОДСКИЙ Р-Н, П. ДУБОВОЕ, УЛ. БОГАТЫРСКАЯ (ДУБОВСКАЯ ЗАСТАВА МКР.), ЗД. 40, ПОМЕЩ. 11</w:t>
            </w:r>
          </w:p>
        </w:tc>
        <w:tc>
          <w:tcPr>
            <w:tcW w:w="1247" w:type="dxa"/>
            <w:vMerge w:val="restart"/>
          </w:tcPr>
          <w:p w:rsidR="00795F30" w:rsidP="00795F30" w:rsidRDefault="00FF4C0C">
            <w:pPr>
              <w:rPr>
                <w:sz w:val="20"/>
                <w:szCs w:val="20"/>
                <w:lang w:val="en-US"/>
              </w:rPr>
            </w:pPr>
            <w:r w:rsidR="002F6FB3">
              <w:rPr>
                <w:sz w:val="20"/>
                <w:szCs w:val="20"/>
                <w:lang w:val="en-US"/>
              </w:rPr>
              <w:t>328750-св</w:t>
            </w:r>
          </w:p>
          <w:p w:rsidR="002F6FB3" w:rsidP="00795F30" w:rsidRDefault="00FF4C0C">
            <w:r w:rsidR="002F6FB3">
              <w:rPr>
                <w:sz w:val="20"/>
                <w:szCs w:val="20"/>
                <w:lang w:val="en-US"/>
              </w:rPr>
              <w:t>18.05.2026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Л030-00114-77/00757972</w:t>
              <w:br/>
              <w:t>(№ )</w:t>
              <w:br/>
              <w:t>07.05.2026</w:t>
              <w:br/>
              <w:t>15.11.2028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"ТРАНСФЕР"</w:t>
            </w:r>
          </w:p>
          <w:p w:rsidRPr="00FF4C0C" w:rsidR="00FF4C0C" w:rsidP="00795F30" w:rsidRDefault="00FF4C0C">
            <w:pPr>
              <w:rPr>
                <w:sz w:val="20"/>
                <w:szCs w:val="20"/>
              </w:rPr>
            </w:pPr>
            <w:r>
              <w:rPr>
                <w:sz w:val="20"/>
                <w:szCs w:val="20"/>
              </w:rPr>
              <w:t>ООО "ТРАНСФЕР"</w:t>
            </w:r>
          </w:p>
          <w:p w:rsidRPr="001463F8" w:rsidR="00795F30" w:rsidP="00795F30" w:rsidRDefault="00FF4C0C">
            <w:pPr>
              <w:rPr>
                <w:sz w:val="20"/>
                <w:szCs w:val="20"/>
              </w:rPr>
            </w:pPr>
            <w:r w:rsidR="002F6FB3">
              <w:rPr>
                <w:sz w:val="20"/>
                <w:szCs w:val="20"/>
              </w:rPr>
              <w:t>ОГРН: 1025500522079</w:t>
            </w:r>
          </w:p>
          <w:p w:rsidRPr="001463F8" w:rsidR="00795F30" w:rsidP="00795F30" w:rsidRDefault="00FF4C0C">
            <w:pPr>
              <w:rPr>
                <w:sz w:val="20"/>
                <w:szCs w:val="20"/>
              </w:rPr>
            </w:pPr>
            <w:r w:rsidRPr="001463F8" w:rsidR="002F6FB3">
              <w:rPr>
                <w:sz w:val="20"/>
                <w:szCs w:val="20"/>
              </w:rPr>
              <w:t>ИНН: 5501069066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644065, ОМСКАЯ ОБЛАСТЬ, Г. ОМСК, УЛ. ЗАВОДСКАЯ, Д. 2, К. 4</w:t>
            </w:r>
          </w:p>
        </w:tc>
        <w:tc>
          <w:tcPr>
            <w:tcW w:w="1247" w:type="dxa"/>
            <w:vMerge w:val="restart"/>
          </w:tcPr>
          <w:p w:rsidR="00795F30" w:rsidP="00795F30" w:rsidRDefault="00FF4C0C">
            <w:pPr>
              <w:rPr>
                <w:sz w:val="20"/>
                <w:szCs w:val="20"/>
                <w:lang w:val="en-US"/>
              </w:rPr>
            </w:pPr>
            <w:r w:rsidR="002F6FB3">
              <w:rPr>
                <w:sz w:val="20"/>
                <w:szCs w:val="20"/>
                <w:lang w:val="en-US"/>
              </w:rPr>
              <w:t>329345-свПГУ</w:t>
            </w:r>
          </w:p>
          <w:p w:rsidR="002F6FB3" w:rsidP="00795F30" w:rsidRDefault="00FF4C0C">
            <w:r w:rsidR="002F6FB3">
              <w:rPr>
                <w:sz w:val="20"/>
                <w:szCs w:val="20"/>
                <w:lang w:val="en-US"/>
              </w:rPr>
              <w:t>19.05.2026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Л030-00114-77/00054446</w:t>
              <w:br/>
              <w:t>(№ 146589)</w:t>
              <w:br/>
              <w:t>18.05.2026</w:t>
              <w:br/>
              <w:t>17.11.2026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"БЕТА ВОИП"</w:t>
            </w:r>
          </w:p>
          <w:p w:rsidRPr="00FF4C0C" w:rsidR="00FF4C0C" w:rsidP="00795F30" w:rsidRDefault="00FF4C0C">
            <w:pPr>
              <w:rPr>
                <w:sz w:val="20"/>
                <w:szCs w:val="20"/>
              </w:rPr>
            </w:pPr>
            <w:r>
              <w:rPr>
                <w:sz w:val="20"/>
                <w:szCs w:val="20"/>
              </w:rPr>
              <w:t>ООО "БЕТА ВОИП"</w:t>
            </w:r>
          </w:p>
          <w:p w:rsidRPr="001463F8" w:rsidR="00795F30" w:rsidP="00795F30" w:rsidRDefault="00FF4C0C">
            <w:pPr>
              <w:rPr>
                <w:sz w:val="20"/>
                <w:szCs w:val="20"/>
              </w:rPr>
            </w:pPr>
            <w:r w:rsidR="002F6FB3">
              <w:rPr>
                <w:sz w:val="20"/>
                <w:szCs w:val="20"/>
              </w:rPr>
              <w:t>ОГРН: 1097746108503</w:t>
            </w:r>
          </w:p>
          <w:p w:rsidRPr="001463F8" w:rsidR="00795F30" w:rsidP="00795F30" w:rsidRDefault="00FF4C0C">
            <w:pPr>
              <w:rPr>
                <w:sz w:val="20"/>
                <w:szCs w:val="20"/>
              </w:rPr>
            </w:pPr>
            <w:r w:rsidRPr="001463F8" w:rsidR="002F6FB3">
              <w:rPr>
                <w:sz w:val="20"/>
                <w:szCs w:val="20"/>
              </w:rPr>
              <w:t>ИНН: 7724701236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115114, Г.МОСКВА, внутригородская территория города федерального значения МУНИЦИПАЛЬНЫЙ ОКРУГ ДАНИЛОВСКИЙ, НАБ ПАВЕЛЕЦКАЯ, Д. 8Б, ПОМЕЩ. 71Н</w:t>
            </w:r>
          </w:p>
        </w:tc>
        <w:tc>
          <w:tcPr>
            <w:tcW w:w="1247" w:type="dxa"/>
            <w:vMerge w:val="restart"/>
          </w:tcPr>
          <w:p w:rsidR="00795F30" w:rsidP="00795F30" w:rsidRDefault="00FF4C0C">
            <w:pPr>
              <w:rPr>
                <w:sz w:val="20"/>
                <w:szCs w:val="20"/>
                <w:lang w:val="en-US"/>
              </w:rPr>
            </w:pPr>
            <w:r w:rsidR="002F6FB3">
              <w:rPr>
                <w:sz w:val="20"/>
                <w:szCs w:val="20"/>
                <w:lang w:val="en-US"/>
              </w:rPr>
              <w:t>333692-св</w:t>
            </w:r>
          </w:p>
          <w:p w:rsidR="002F6FB3" w:rsidP="00795F30" w:rsidRDefault="00FF4C0C">
            <w:r w:rsidR="002F6FB3">
              <w:rPr>
                <w:sz w:val="20"/>
                <w:szCs w:val="20"/>
                <w:lang w:val="en-US"/>
              </w:rPr>
              <w:t>20.05.2026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Л030-00114-77/00049470</w:t>
              <w:br/>
              <w:t>(№ 129354)</w:t>
              <w:br/>
              <w:t>19.10.2015</w:t>
              <w:br/>
              <w:t>19.10.2026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sdt>
      <w:sdtPr>
        <w:rPr>
          <w:lang w:val="en-US"/>
        </w:rPr>
        <w:tag w:val="decision8"/>
        <w:id w:val="-662229843"/>
        <w:placeholder>
          <w:docPart w:val="77FCCA959E5E426981D107E943557849"/>
        </w:placeholder>
        <w:showingPlcHdr/>
      </w:sdtPr>
      <w:sdtEndPr/>
      <w:sdtContent>
        <w:p w:rsidRPr="004B48BF" w:rsidR="009F3350" w:rsidP="009F3350" w:rsidRDefault="009F3350">
          <w:pPr>
            <w:rPr>
              <w:lang w:val="en-US"/>
            </w:rPr>
          </w:pPr>
          <w:r>
            <w:rPr>
              <w:rStyle w:val="a7"/>
              <w:lang w:val="en-US"/>
            </w:rPr>
            <w:t xml:space="preserve">  </w:t>
          </w:r>
        </w:p>
      </w:sdtContent>
    </w:sdt>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Мендыбаев Тимур Мухтарович</cp:lastModifiedBy>
  <dcterms:modified xmlns:xsi="http://www.w3.org/2001/XMLSchema-instance" xsi:type="dcterms:W3CDTF">2016-04-14T19:39:00Z</dcterms:modified>
  <cp:revision>6</cp:revision>
  <dc:title>Sr:lytphyl</dc:title>
</cp:coreProperties>
</file>