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b483466" w14:textId="b483466">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Н03-11834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"СЕНСОРНЫЕ СИСТЕМЫ"</w:t>
            </w:r>
          </w:p>
          <w:p w:rsidRPr="00FF4C0C" w:rsidR="00FF4C0C" w:rsidP="00795F30" w:rsidRDefault="00FF4C0C">
            <w:pPr>
              <w:rPr>
                <w:sz w:val="20"/>
                <w:szCs w:val="20"/>
              </w:rPr>
            </w:pPr>
            <w:r>
              <w:rPr>
                <w:sz w:val="20"/>
                <w:szCs w:val="20"/>
              </w:rPr>
              <w:t>ООО "СЕНСОРНЫЕ СИСТЕМЫ"</w:t>
            </w:r>
          </w:p>
          <w:p w:rsidRPr="001463F8" w:rsidR="00795F30" w:rsidP="00795F30" w:rsidRDefault="00FF4C0C">
            <w:pPr>
              <w:rPr>
                <w:sz w:val="20"/>
                <w:szCs w:val="20"/>
              </w:rPr>
            </w:pPr>
            <w:r w:rsidR="002F6FB3">
              <w:rPr>
                <w:sz w:val="20"/>
                <w:szCs w:val="20"/>
              </w:rPr>
              <w:t>ОГРН: 1035001850400</w:t>
            </w:r>
          </w:p>
          <w:p w:rsidRPr="001463F8" w:rsidR="00795F30" w:rsidP="00795F30" w:rsidRDefault="00FF4C0C">
            <w:pPr>
              <w:rPr>
                <w:sz w:val="20"/>
                <w:szCs w:val="20"/>
              </w:rPr>
            </w:pPr>
            <w:r w:rsidRPr="001463F8" w:rsidR="002F6FB3">
              <w:rPr>
                <w:sz w:val="20"/>
                <w:szCs w:val="20"/>
              </w:rPr>
              <w:t>ИНН: 5008003806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141701, МОСКОВСКАЯ ОБЛАСТЬ, Г. ДОЛГОПРУДНЫЙ, ПР-Д ПРОМЫШЛЕННЫЙ, Д. 14, ЭТАЖ 1 XVIII - ПОМ № 1</w:t>
            </w:r>
          </w:p>
        </w:tc>
        <w:tc>
          <w:tcPr>
            <w:tcW w:w="1247" w:type="dxa"/>
            <w:vMerge w:val="restart"/>
          </w:tcPr>
          <w:p w:rsidR="00795F30" w:rsidP="00795F30" w:rsidRDefault="00FF4C0C">
            <w:pPr>
              <w:rPr>
                <w:sz w:val="20"/>
                <w:szCs w:val="20"/>
                <w:lang w:val="en-US"/>
              </w:rPr>
            </w:pPr>
            <w:r w:rsidR="002F6FB3">
              <w:rPr>
                <w:sz w:val="20"/>
                <w:szCs w:val="20"/>
                <w:lang w:val="en-US"/>
              </w:rPr>
              <w:t>339796-свПГУ</w:t>
            </w:r>
          </w:p>
          <w:p w:rsidR="002F6FB3" w:rsidP="00795F30" w:rsidRDefault="00FF4C0C">
            <w:r w:rsidR="002F6FB3">
              <w:rPr>
                <w:sz w:val="20"/>
                <w:szCs w:val="20"/>
                <w:lang w:val="en-US"/>
              </w:rPr>
              <w:t>21.05.2026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Л030-00114-77/00078676</w:t>
              <w:br/>
              <w:t>(№ 184689)</w:t>
              <w:br/>
              <w:t>17.11.2016</w:t>
              <w:br/>
              <w:t>17.11.2026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"НЭТКОМ"</w:t>
            </w:r>
          </w:p>
          <w:p w:rsidRPr="00FF4C0C" w:rsidR="00FF4C0C" w:rsidP="00795F30" w:rsidRDefault="00FF4C0C">
            <w:pPr>
              <w:rPr>
                <w:sz w:val="20"/>
                <w:szCs w:val="20"/>
              </w:rPr>
            </w:pPr>
            <w:r>
              <w:rPr>
                <w:sz w:val="20"/>
                <w:szCs w:val="20"/>
              </w:rPr>
              <w:t>ООО "НЭТКОМ"</w:t>
            </w:r>
          </w:p>
          <w:p w:rsidRPr="001463F8" w:rsidR="00795F30" w:rsidP="00795F30" w:rsidRDefault="00FF4C0C">
            <w:pPr>
              <w:rPr>
                <w:sz w:val="20"/>
                <w:szCs w:val="20"/>
              </w:rPr>
            </w:pPr>
            <w:r w:rsidR="002F6FB3">
              <w:rPr>
                <w:sz w:val="20"/>
                <w:szCs w:val="20"/>
              </w:rPr>
              <w:t>ОГРН: 1107017014323</w:t>
            </w:r>
          </w:p>
          <w:p w:rsidRPr="001463F8" w:rsidR="00795F30" w:rsidP="00795F30" w:rsidRDefault="00FF4C0C">
            <w:pPr>
              <w:rPr>
                <w:sz w:val="20"/>
                <w:szCs w:val="20"/>
              </w:rPr>
            </w:pPr>
            <w:r w:rsidRPr="001463F8" w:rsidR="002F6FB3">
              <w:rPr>
                <w:sz w:val="20"/>
                <w:szCs w:val="20"/>
              </w:rPr>
              <w:t>ИНН: 7017267319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634012, ТОМСКАЯ ОБЛАСТЬ, Г. ТОМСК, УЛ. ШЕВЧЕНКО, Д. 60, ПОМЕЩЕНИЯ 14, 16, 23, 24, 27, 28, 29</w:t>
            </w:r>
          </w:p>
        </w:tc>
        <w:tc>
          <w:tcPr>
            <w:tcW w:w="1247" w:type="dxa"/>
            <w:vMerge w:val="restart"/>
          </w:tcPr>
          <w:p w:rsidR="00795F30" w:rsidP="00795F30" w:rsidRDefault="00FF4C0C">
            <w:pPr>
              <w:rPr>
                <w:sz w:val="20"/>
                <w:szCs w:val="20"/>
                <w:lang w:val="en-US"/>
              </w:rPr>
            </w:pPr>
            <w:r w:rsidR="002F6FB3">
              <w:rPr>
                <w:sz w:val="20"/>
                <w:szCs w:val="20"/>
                <w:lang w:val="en-US"/>
              </w:rPr>
              <w:t>349205-свПГУ</w:t>
            </w:r>
          </w:p>
          <w:p w:rsidR="002F6FB3" w:rsidP="00795F30" w:rsidRDefault="00FF4C0C">
            <w:r w:rsidR="002F6FB3">
              <w:rPr>
                <w:sz w:val="20"/>
                <w:szCs w:val="20"/>
                <w:lang w:val="en-US"/>
              </w:rPr>
              <w:t>25.05.2026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Л030-00114-77/00074651</w:t>
              <w:br/>
              <w:t>(№ 179580)</w:t>
              <w:br/>
              <w:t>12.02.2018</w:t>
              <w:br/>
              <w:t>12.02.2028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