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en-US"/>
        </w:rPr>
        <w:t>30 апреля 2025</w:t>
      </w:r>
      <w:r w:rsidRPr="00830D0A">
        <w:rPr>
          <w:b/>
          <w:sz w:val="28"/>
          <w:szCs w:val="28"/>
        </w:rPr>
        <w:t xml:space="preserve"> года</w:t>
      </w:r>
    </w:p>
    <w:p w:rsidR="00244CF5" w:rsidRDefault="00244CF5" w:rsidP="003054C6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w="568" w:type="dxa"/>
          </w:tcPr>
          <w:p w:rsidR="0096174B" w:rsidRPr="00C3547A" w:rsidRDefault="0096174B" w:rsidP="002E167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="0096174B" w:rsidRPr="00C3547A" w:rsidRDefault="0096174B" w:rsidP="002E167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ГОРОД,</w:t>
            </w:r>
          </w:p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РЕГИОН,</w:t>
            </w:r>
          </w:p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="0096174B" w:rsidRPr="007B6025" w:rsidRDefault="0096174B" w:rsidP="00121BF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="0096174B" w:rsidRPr="007B6025" w:rsidRDefault="0096174B" w:rsidP="00121BF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="0096174B" w:rsidRPr="007B6025" w:rsidRDefault="0096174B" w:rsidP="00121BF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="0096174B" w:rsidRPr="00C3547A" w:rsidRDefault="0096174B" w:rsidP="00121BFB">
            <w:pPr>
              <w:pStyle w:val="2"/>
              <w:suppressAutoHyphens/>
              <w:rPr>
                <w:i w:val="0"/>
                <w:sz w:val="16"/>
                <w:szCs w:val="16"/>
              </w:rPr>
            </w:pPr>
            <w:r w:rsidRPr="00C3547A">
              <w:rPr>
                <w:i w:val="0"/>
                <w:sz w:val="16"/>
                <w:szCs w:val="16"/>
              </w:rPr>
              <w:t>ОРГАНИЗАЦИЯ</w:t>
            </w:r>
          </w:p>
        </w:tc>
      </w:tr>
      <w:tr w:rsidR="00F930EB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08600E" w:rsidP="0008600E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Нижний Новгород, </w:t>
            </w:r>
            <w:r>
              <w:rPr>
                <w:b/>
                <w:sz w:val="16"/>
                <w:szCs w:val="16"/>
              </w:rPr>
              <w:br/>
              <w:t xml:space="preserve">г. Дзержинск </w:t>
            </w:r>
            <w:r>
              <w:rPr>
                <w:b/>
                <w:sz w:val="16"/>
                <w:szCs w:val="16"/>
              </w:rPr>
              <w:br/>
              <w:t xml:space="preserve">(пункт установки передатчика - г. Нижний Новгород),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 xml:space="preserve">Нижегородская </w:t>
            </w:r>
            <w:r>
              <w:rPr>
                <w:b/>
                <w:sz w:val="16"/>
                <w:szCs w:val="16"/>
              </w:rPr>
              <w:t>область</w:t>
            </w:r>
            <w:r w:rsidR="00FD797F">
              <w:rPr>
                <w:b/>
                <w:sz w:val="16"/>
                <w:szCs w:val="16"/>
              </w:rPr>
              <w:t xml:space="preserve"> </w:t>
            </w:r>
            <w:r w:rsidR="00FD797F">
              <w:rPr>
                <w:b/>
                <w:sz w:val="16"/>
                <w:szCs w:val="16"/>
              </w:rPr>
              <w:br/>
              <w:t xml:space="preserve">Приволжский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89,8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"ГПМ РАДИО"</w:t>
            </w:r>
            <w:r>
              <w:rPr>
                <w:sz w:val="16"/>
                <w:szCs w:val="16"/>
              </w:rPr>
              <w:br/>
              <w:t>2. ООО "БОЛЬШОЕ РАДИО"</w:t>
            </w:r>
            <w:r>
              <w:rPr>
                <w:sz w:val="16"/>
                <w:szCs w:val="16"/>
              </w:rPr>
              <w:br/>
              <w:t>3. ООО "ИНТЕР-РАДИО-ГРУПП"</w:t>
            </w:r>
            <w:r>
              <w:rPr>
                <w:sz w:val="16"/>
                <w:szCs w:val="16"/>
              </w:rPr>
              <w:br/>
              <w:t>4. ООО "МАЛ-РАДИО"</w:t>
            </w:r>
            <w:r>
              <w:rPr>
                <w:sz w:val="16"/>
                <w:szCs w:val="16"/>
              </w:rPr>
              <w:br/>
              <w:t>5. ООО "ПИ ФМ"</w:t>
            </w:r>
            <w:r>
              <w:rPr>
                <w:sz w:val="16"/>
                <w:szCs w:val="16"/>
              </w:rPr>
              <w:br/>
              <w:t>6. ООО "НН РАДИОПОИСК"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F930EB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08600E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Нижний Новгород, </w:t>
            </w:r>
            <w:r>
              <w:rPr>
                <w:b/>
                <w:sz w:val="16"/>
                <w:szCs w:val="16"/>
              </w:rPr>
              <w:br/>
              <w:t xml:space="preserve">г. Дзержинск </w:t>
            </w:r>
            <w:r>
              <w:rPr>
                <w:b/>
                <w:sz w:val="16"/>
                <w:szCs w:val="16"/>
              </w:rPr>
              <w:br/>
              <w:t xml:space="preserve">(пункт установки передатчика - г. Нижний Новгород), </w:t>
            </w:r>
            <w:r>
              <w:rPr>
                <w:b/>
                <w:sz w:val="16"/>
                <w:szCs w:val="16"/>
              </w:rPr>
              <w:br/>
              <w:t xml:space="preserve">Нижегородская область </w:t>
            </w:r>
            <w:r>
              <w:rPr>
                <w:b/>
                <w:sz w:val="16"/>
                <w:szCs w:val="16"/>
              </w:rPr>
              <w:br/>
              <w:t xml:space="preserve">Приволжский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91,7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"ГПМ РАДИО"</w:t>
            </w:r>
            <w:r>
              <w:rPr>
                <w:sz w:val="16"/>
                <w:szCs w:val="16"/>
              </w:rPr>
              <w:br/>
              <w:t>2. ООО "БОЛЬШОЕ РАДИО"</w:t>
            </w:r>
            <w:r>
              <w:rPr>
                <w:sz w:val="16"/>
                <w:szCs w:val="16"/>
              </w:rPr>
              <w:br/>
              <w:t>3. ООО "ИНТЕР-РАДИО-ГРУПП"</w:t>
            </w:r>
            <w:r>
              <w:rPr>
                <w:sz w:val="16"/>
                <w:szCs w:val="16"/>
              </w:rPr>
              <w:br/>
              <w:t>4. ООО "МАЛ-РАДИО"</w:t>
            </w:r>
            <w:r>
              <w:rPr>
                <w:sz w:val="16"/>
                <w:szCs w:val="16"/>
              </w:rPr>
              <w:br/>
              <w:t>5. ООО "ПИ ФМ"</w:t>
            </w:r>
            <w:r>
              <w:rPr>
                <w:sz w:val="16"/>
                <w:szCs w:val="16"/>
              </w:rPr>
              <w:br/>
              <w:t>6. ООО "НН РАДИОПОИСК"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F930EB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08600E" w:rsidP="0008600E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г. Владивосток,</w:t>
            </w:r>
            <w:r>
              <w:rPr>
                <w:b/>
                <w:sz w:val="16"/>
                <w:szCs w:val="16"/>
              </w:rPr>
              <w:br/>
              <w:t>Приморский край,</w:t>
            </w:r>
            <w:r w:rsidR="00FD797F">
              <w:rPr>
                <w:b/>
                <w:sz w:val="16"/>
                <w:szCs w:val="16"/>
              </w:rPr>
              <w:br/>
              <w:t xml:space="preserve">Дальневосточный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92,7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"НАШЕ РАДИО"</w:t>
            </w:r>
            <w:r>
              <w:rPr>
                <w:sz w:val="16"/>
                <w:szCs w:val="16"/>
              </w:rPr>
              <w:br/>
              <w:t>2. ООО "ГПМ РАДИО"</w:t>
            </w:r>
            <w:r>
              <w:rPr>
                <w:sz w:val="16"/>
                <w:szCs w:val="16"/>
              </w:rPr>
              <w:br/>
              <w:t>3. ООО "КОРДЕЛИЯ-МЕДИА"</w:t>
            </w:r>
            <w:r>
              <w:rPr>
                <w:sz w:val="16"/>
                <w:szCs w:val="16"/>
              </w:rPr>
              <w:br/>
              <w:t>4. ООО "БОЛЬШОЕ РАДИО"</w:t>
            </w:r>
            <w:r>
              <w:rPr>
                <w:sz w:val="16"/>
                <w:szCs w:val="16"/>
              </w:rPr>
              <w:br/>
              <w:t>5. ООО "МАКСИМУМ"</w:t>
            </w:r>
            <w:r>
              <w:rPr>
                <w:sz w:val="16"/>
                <w:szCs w:val="16"/>
              </w:rPr>
              <w:br/>
              <w:t>6. ООО "ИНХОЛД"</w:t>
            </w:r>
            <w:r>
              <w:rPr>
                <w:sz w:val="16"/>
                <w:szCs w:val="16"/>
              </w:rPr>
              <w:br/>
              <w:t>7. ООО "Д-М"</w:t>
            </w:r>
            <w:r>
              <w:rPr>
                <w:sz w:val="16"/>
                <w:szCs w:val="16"/>
              </w:rPr>
              <w:br/>
              <w:t>8. ООО "ЭФИР-ВЛАДИВОСТОК"</w:t>
            </w:r>
            <w:r>
              <w:rPr>
                <w:sz w:val="16"/>
                <w:szCs w:val="16"/>
              </w:rPr>
              <w:br/>
              <w:t>9. ООО "РРД"</w:t>
            </w:r>
            <w:r>
              <w:rPr>
                <w:sz w:val="16"/>
                <w:szCs w:val="16"/>
              </w:rPr>
              <w:br/>
              <w:t>10. ООО "ПАРИТЕТ-ВОСТОК"</w:t>
            </w:r>
            <w:r>
              <w:rPr>
                <w:sz w:val="16"/>
                <w:szCs w:val="16"/>
              </w:rPr>
              <w:br/>
              <w:t>11. ООО "ПРАЙМ ПЛЮС"</w:t>
            </w:r>
            <w:r>
              <w:rPr>
                <w:sz w:val="16"/>
                <w:szCs w:val="16"/>
              </w:rPr>
              <w:br/>
              <w:t>12. КГБУ "ОБЩЕСТВЕННОЕ ТЕЛЕВИДЕНИЕ ПРИМОРЬЯ"</w:t>
            </w:r>
            <w:r>
              <w:rPr>
                <w:sz w:val="16"/>
                <w:szCs w:val="16"/>
              </w:rPr>
              <w:br/>
              <w:t>13. ООО "ПИ ФМ"</w:t>
            </w:r>
            <w:r>
              <w:rPr>
                <w:sz w:val="16"/>
                <w:szCs w:val="16"/>
              </w:rPr>
              <w:br/>
              <w:t>14. ООО "ЭФФЕКТ 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F930EB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="0096174B" w:rsidRPr="00BF6028" w:rsidRDefault="0008600E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г. Владивосток,</w:t>
            </w:r>
            <w:r>
              <w:rPr>
                <w:b/>
                <w:sz w:val="16"/>
                <w:szCs w:val="16"/>
              </w:rPr>
              <w:br/>
              <w:t>Приморский край,</w:t>
            </w:r>
            <w:r>
              <w:rPr>
                <w:b/>
                <w:sz w:val="16"/>
                <w:szCs w:val="16"/>
              </w:rPr>
              <w:br/>
              <w:t xml:space="preserve">Дальневосточный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94,9 МГц, 1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"НАШЕ РАДИО"</w:t>
            </w:r>
            <w:r>
              <w:rPr>
                <w:sz w:val="16"/>
                <w:szCs w:val="16"/>
              </w:rPr>
              <w:br/>
              <w:t>2. ООО "ГПМ РАДИО"</w:t>
            </w:r>
            <w:r>
              <w:rPr>
                <w:sz w:val="16"/>
                <w:szCs w:val="16"/>
              </w:rPr>
              <w:br/>
              <w:t>3. ООО "КОРДЕЛИЯ-МЕДИА"</w:t>
            </w:r>
            <w:r>
              <w:rPr>
                <w:sz w:val="16"/>
                <w:szCs w:val="16"/>
              </w:rPr>
              <w:br/>
              <w:t>4. ООО "БОЛЬШОЕ РАДИО"</w:t>
            </w:r>
            <w:r>
              <w:rPr>
                <w:sz w:val="16"/>
                <w:szCs w:val="16"/>
              </w:rPr>
              <w:br/>
              <w:t>5. ООО "МАКСИМУМ"</w:t>
            </w:r>
            <w:r>
              <w:rPr>
                <w:sz w:val="16"/>
                <w:szCs w:val="16"/>
              </w:rPr>
              <w:br/>
              <w:t>6. ООО "ИНХОЛД"</w:t>
            </w:r>
            <w:r>
              <w:rPr>
                <w:sz w:val="16"/>
                <w:szCs w:val="16"/>
              </w:rPr>
              <w:br/>
              <w:t>7. ООО "Д-М"</w:t>
            </w:r>
            <w:r>
              <w:rPr>
                <w:sz w:val="16"/>
                <w:szCs w:val="16"/>
              </w:rPr>
              <w:br/>
              <w:t>8. ООО "ЭФИР-ВЛАДИВОСТОК"</w:t>
            </w:r>
            <w:r>
              <w:rPr>
                <w:sz w:val="16"/>
                <w:szCs w:val="16"/>
              </w:rPr>
              <w:br/>
              <w:t>9. ООО "РРД"</w:t>
            </w:r>
            <w:r>
              <w:rPr>
                <w:sz w:val="16"/>
                <w:szCs w:val="16"/>
              </w:rPr>
              <w:br/>
              <w:t>10. ООО "ПАРИТЕТ-ВОСТОК"</w:t>
            </w:r>
            <w:r>
              <w:rPr>
                <w:sz w:val="16"/>
                <w:szCs w:val="16"/>
              </w:rPr>
              <w:br/>
              <w:t>11. ООО "ПРАЙМ ПЛЮС"</w:t>
            </w:r>
            <w:r>
              <w:rPr>
                <w:sz w:val="16"/>
                <w:szCs w:val="16"/>
              </w:rPr>
              <w:br/>
              <w:t>12. КГБУ "ОБЩЕСТВЕННОЕ ТЕЛЕВИДЕНИЕ ПРИМОРЬЯ"</w:t>
            </w:r>
            <w:r>
              <w:rPr>
                <w:sz w:val="16"/>
                <w:szCs w:val="16"/>
              </w:rPr>
              <w:br/>
              <w:t>13. ООО "ПИ ФМ"</w:t>
            </w:r>
            <w:r>
              <w:rPr>
                <w:sz w:val="16"/>
                <w:szCs w:val="16"/>
              </w:rPr>
              <w:br/>
              <w:t>14. ООО "ЭФФЕКТ 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08600E" w:rsidRDefault="0008600E" w:rsidP="0008600E">
      <w:pPr>
        <w:ind w:firstLine="708"/>
        <w:jc w:val="both"/>
        <w:rPr>
          <w:b/>
          <w:bCs/>
          <w:sz w:val="28"/>
          <w:szCs w:val="28"/>
        </w:rPr>
      </w:pPr>
    </w:p>
    <w:p w:rsidR="0008600E" w:rsidRDefault="0008600E" w:rsidP="0008600E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</w:p>
    <w:p w:rsidR="0008600E" w:rsidRPr="00864DDE" w:rsidRDefault="0008600E" w:rsidP="0008600E">
      <w:pPr>
        <w:jc w:val="both"/>
        <w:rPr>
          <w:b/>
          <w:sz w:val="28"/>
          <w:szCs w:val="28"/>
        </w:rPr>
      </w:pPr>
    </w:p>
    <w:p w:rsidR="003B7F21" w:rsidRDefault="0008600E" w:rsidP="00294569">
      <w:pPr>
        <w:pStyle w:val="20"/>
        <w:suppressAutoHyphens/>
        <w:ind w:left="-142"/>
        <w:jc w:val="center"/>
      </w:pPr>
      <w:r w:rsidRPr="005D6D0C">
        <w:rPr>
          <w:b/>
          <w:u w:val="single"/>
        </w:rPr>
        <w:t xml:space="preserve">Подтвердить участие необходимо не позднее </w:t>
      </w:r>
      <w:r>
        <w:rPr>
          <w:b/>
          <w:u w:val="single"/>
        </w:rPr>
        <w:t>24.04.2025</w:t>
      </w:r>
      <w:r w:rsidRPr="005D6D0C">
        <w:rPr>
          <w:b/>
          <w:u w:val="single"/>
        </w:rPr>
        <w:t xml:space="preserve"> по электронной почте: </w:t>
      </w:r>
      <w:sdt>
        <w:sdtPr>
          <w:rPr>
            <w:b/>
            <w:u w:val="single"/>
          </w:rPr>
          <w:tag w:val="email"/>
          <w:id w:val="1788166341"/>
          <w:placeholder>
            <w:docPart w:val="0805EC1349A54DA18D493C07099F112E"/>
          </w:placeholder>
          <w:text/>
        </w:sdtPr>
        <w:sdtEndPr/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517051562"/>
          <w:placeholder>
            <w:docPart w:val="42C72F6D96A5467FA99BDE1478234CFD"/>
          </w:placeholder>
          <w:text/>
        </w:sdtPr>
        <w:sdtEndPr/>
        <w:sdtContent>
          <w:r w:rsidRPr="005D6D0C">
            <w:rPr>
              <w:b/>
              <w:u w:val="single"/>
            </w:rPr>
            <w:t>(495) 587-40-66; (495) 587-40-81</w:t>
          </w:r>
        </w:sdtContent>
      </w:sdt>
      <w:bookmarkStart w:id="0" w:name="_GoBack"/>
      <w:bookmarkEnd w:id="0"/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8600E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9456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930EB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link w:val="21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  <w:style w:type="character" w:customStyle="1" w:styleId="21">
    <w:name w:val="Основной текст с отступом 2 Знак"/>
    <w:basedOn w:val="a0"/>
    <w:link w:val="20"/>
    <w:rsid w:val="000860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link w:val="21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  <w:style w:type="character" w:customStyle="1" w:styleId="21">
    <w:name w:val="Основной текст с отступом 2 Знак"/>
    <w:basedOn w:val="a0"/>
    <w:link w:val="20"/>
    <w:rsid w:val="00086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805EC1349A54DA18D493C07099F11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229FCA-45F6-4742-94DF-7228F1878BBF}"/>
      </w:docPartPr>
      <w:docPartBody>
        <w:p w:rsidR="003F1229" w:rsidRDefault="00125A3E" w:rsidP="00125A3E">
          <w:pPr>
            <w:pStyle w:val="0805EC1349A54DA18D493C07099F112E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C72F6D96A5467FA99BDE1478234C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4F902C-48E0-4E59-B57C-123792D8FA1B}"/>
      </w:docPartPr>
      <w:docPartBody>
        <w:p w:rsidR="003F1229" w:rsidRDefault="00125A3E" w:rsidP="00125A3E">
          <w:pPr>
            <w:pStyle w:val="42C72F6D96A5467FA99BDE1478234CFD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25A3E"/>
    <w:rsid w:val="001E20EA"/>
    <w:rsid w:val="00306CE3"/>
    <w:rsid w:val="003F1229"/>
    <w:rsid w:val="004011E4"/>
    <w:rsid w:val="007B1FEE"/>
    <w:rsid w:val="00857359"/>
    <w:rsid w:val="00924744"/>
    <w:rsid w:val="00983BED"/>
    <w:rsid w:val="009A779B"/>
    <w:rsid w:val="00A36DFD"/>
    <w:rsid w:val="00A5360A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5A3E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  <w:style w:type="paragraph" w:customStyle="1" w:styleId="0805EC1349A54DA18D493C07099F112E">
    <w:name w:val="0805EC1349A54DA18D493C07099F112E"/>
    <w:rsid w:val="00125A3E"/>
  </w:style>
  <w:style w:type="paragraph" w:customStyle="1" w:styleId="42C72F6D96A5467FA99BDE1478234CFD">
    <w:name w:val="42C72F6D96A5467FA99BDE1478234CFD"/>
    <w:rsid w:val="00125A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5A3E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  <w:style w:type="paragraph" w:customStyle="1" w:styleId="0805EC1349A54DA18D493C07099F112E">
    <w:name w:val="0805EC1349A54DA18D493C07099F112E"/>
    <w:rsid w:val="00125A3E"/>
  </w:style>
  <w:style w:type="paragraph" w:customStyle="1" w:styleId="42C72F6D96A5467FA99BDE1478234CFD">
    <w:name w:val="42C72F6D96A5467FA99BDE1478234CFD"/>
    <w:rsid w:val="00125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claim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W w:type="dxa" w:w="9498"/>
        <w:tblInd w:type="dxa" w:w="-3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type="dxa" w:w="568"/>
          </w:tcPr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type="dxa" w:w="2693"/>
          </w:tcPr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type="dxa" w:w="2126"/>
          </w:tcPr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P="00121BFB" w:rsidR="0096174B" w:rsidRDefault="0096174B" w:rsidRPr="007B6025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type="dxa" w:w="4111"/>
          </w:tcPr>
          <w:p w:rsidP="00121BFB" w:rsidR="0096174B" w:rsidRDefault="0096174B" w:rsidRPr="00C3547A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96174B" w:rsidRPr="00EB4C9D" w:rsidTr="009B607A">
        <w:trPr>
          <w:cantSplit/>
        </w:trPr>
        <w:tc>
          <w:tcPr>
            <w:tcW w:type="dxa" w:w="568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n"/>
              <w:id w:val="-2058150800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C22629">
                <w:pPr>
                  <w:suppressAutoHyphens/>
                  <w:jc w:val="center"/>
                  <w:rPr>
                    <w:b/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693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placeText"/>
              <w:id w:val="-2092536981"/>
              <w:placeholder>
                <w:docPart w:val="DefaultPlaceholder_1082065158"/>
              </w:placeholder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126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freqPowerText"/>
              <w:id w:val="-613060615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4111"/>
            <w:tcMar>
              <w:top w:type="dxa" w:w="113"/>
              <w:bottom w:type="dxa" w:w="113"/>
            </w:tcMar>
          </w:tcPr>
          <w:p w:rsidP="009B607A" w:rsidR="0096174B" w:rsidRDefault="00D86FCF" w:rsidRPr="00EB4C9D">
            <w:pPr>
              <w:suppressAutoHyphens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claimantName"/>
                <w:id w:val="-1492627282"/>
                <w:placeholder>
                  <w:docPart w:val="DefaultPlaceholder_1082065158"/>
                </w:placeholder>
              </w:sdtPr>
              <w:sdtEndPr/>
              <w:sdtContent>
                <w:r w:rsidR="00FD797F">
                  <w:rPr>
                    <w:sz w:val="16"/>
                    <w:szCs w:val="16"/>
                    <w:lang w:val="en-US"/>
                  </w:rPr>
                  <w:t xml:space="preserve"> </w:t>
                </w:r>
              </w:sdtContent>
            </w:sdt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143400BC-A3BC-4F81-8B38-3C1C307B70B5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ED6CE4CB-49F6-4439-B31A-82BA78BA275C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290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об участниках конкурса на получение права на наземное</dc:title>
  <cp:lastModifiedBy>Молчанова Светлана Владимировна</cp:lastModifiedBy>
  <cp:revision>20</cp:revision>
  <cp:lastPrinted>2014-12-11T09:12:00Z</cp:lastPrinted>
  <dcterms:created xsi:type="dcterms:W3CDTF">2025-04-09T11:26:00Z</dcterms:created>
  <dcterms:modified xsi:type="dcterms:W3CDTF">2025-04-09T13:51:00Z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{143400bc-a3bc-4f81-8b38-3c1c307b70b5}</vt:lpwstr>
  </property>
</Properties>
</file>