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cd023be" w14:paraId="cd023be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 декабря 2018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Кировская обл, Киров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89,6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"Лав Радио сеть"</w:t>
              <w:br/>
              <w:t>2. ООО "Эврика"</w:t>
              <w:br/>
              <w:t>3. ООО "Рекламное Агентство Девятка"</w:t>
              <w:br/>
              <w:t>4. ООО "Ресурс"</w:t>
              <w:br/>
              <w:t>5. ООО "МАРКЕТ ТВ"</w:t>
              <w:br/>
              <w:t>6. ООО "Эффект"</w:t>
              <w:br/>
              <w:t>7. ООО "Компания Новое радио"</w:t>
              <w:br/>
              <w:t>8. ООО "МКР-Медиа"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Кировская обл, Киров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90,0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"Лав Радио сеть"</w:t>
              <w:br/>
              <w:t>2. ООО "Эврика"</w:t>
              <w:br/>
              <w:t>3. ООО "Рекламное Агентство Девятка"</w:t>
              <w:br/>
              <w:t>4. ООО "Ресурс"</w:t>
              <w:br/>
              <w:t>5. ООО "МАРКЕТ ТВ"</w:t>
              <w:br/>
              <w:t>6. ООО "Эффект"</w:t>
              <w:br/>
              <w:t>7. ООО "Компания Новое радио"</w:t>
              <w:br/>
              <w:t>8. ООО "МКР-Медиа"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Башкортостан Респ, Нефтекамск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99,6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Башкортостан Респ, Нефтекамск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104,2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Липецкая обл, Липецк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91,7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ООО  "Родной мотив"</w:t>
              <w:br/>
              <w:t>3. ООО "Л-радио"</w:t>
              <w:br/>
              <w:t>4. ООО "Магнат Медиа"</w:t>
              <w:br/>
              <w:t>5. ООО "Арена-Медиа"</w:t>
              <w:br/>
              <w:t>6. АО "РЕГИОНАЛЬНЫЙ РАДИОКАНАЛ"</w:t>
              <w:br/>
              <w:t>7. ООО "Эффект"</w:t>
              <w:br/>
              <w:t>8. ООО  "Родной мотив"</w:t>
              <w:br/>
              <w:t>9. ООО "Наше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Липецкая обл, Липецк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98,8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 "Родной мотив"</w:t>
              <w:br/>
              <w:t>2. ООО "Большое Радио"</w:t>
              <w:br/>
              <w:t>3. ООО "Л-радио"</w:t>
              <w:br/>
              <w:t>4. ООО "Магнат Медиа"</w:t>
              <w:br/>
              <w:t>5. ООО "Арена-Медиа"</w:t>
              <w:br/>
              <w:t>6. АО "РЕГИОНАЛЬНЫЙ РАДИОКАНАЛ"</w:t>
              <w:br/>
              <w:t>7. ООО "Эффект"</w:t>
              <w:br/>
              <w:t>8. ООО  "Родной мотив"</w:t>
              <w:br/>
              <w:t>9. ООО "Наше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Вологодская обл, Вологда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95,5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АНО ИРЦ "СОФИЯ"</w:t>
              <w:br/>
              <w:t>3. ООО "Медиа-Центр"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Вологодская обл, Вологда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96,0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АНО ИРЦ "СОФИЯ"</w:t>
              <w:br/>
              <w:t>3. ООО "Медиа-Центр"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Красноярский край, Норильск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91,5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"МЕДИА ФЕРМА"</w:t>
              <w:br/>
              <w:t>2. АНО Радиоканал "Вера, надежда, любовь"</w:t>
              <w:br/>
              <w:t>3. ООО "Сибирская радиосеть"</w:t>
              <w:br/>
              <w:t>4. ООО "Норильское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Красноярский край, Норильск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107,4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"МЕДИА ФЕРМА"</w:t>
              <w:br/>
              <w:t>2. АНО Радиоканал "Вера, надежда, любовь"</w:t>
              <w:br/>
              <w:t>3. ООО "Сибирская радиосеть"</w:t>
              <w:br/>
              <w:t>4. ООО "Норильское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